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65" w:rsidRPr="00D67C32" w:rsidRDefault="00D02A65" w:rsidP="00D02A65">
      <w:pPr>
        <w:widowControl/>
        <w:shd w:val="clear" w:color="auto" w:fill="FFFFFF"/>
        <w:spacing w:line="315" w:lineRule="atLeast"/>
        <w:ind w:firstLine="640"/>
        <w:jc w:val="center"/>
        <w:rPr>
          <w:rFonts w:ascii="仿宋_GB2312" w:eastAsia="仿宋_GB2312" w:hAnsi="Simsun" w:cs="宋体" w:hint="eastAsia"/>
          <w:color w:val="000000"/>
          <w:kern w:val="0"/>
          <w:sz w:val="32"/>
          <w:szCs w:val="32"/>
        </w:rPr>
      </w:pPr>
      <w:r w:rsidRPr="00035EAB">
        <w:rPr>
          <w:rFonts w:ascii="仿宋_GB2312" w:eastAsia="仿宋_GB2312" w:hAnsi="Simsun" w:cs="宋体" w:hint="eastAsia"/>
          <w:color w:val="000000"/>
          <w:kern w:val="0"/>
          <w:sz w:val="28"/>
          <w:szCs w:val="28"/>
        </w:rPr>
        <w:t>附件1：三明职业技术学院说专业评分标准</w:t>
      </w:r>
    </w:p>
    <w:tbl>
      <w:tblPr>
        <w:tblW w:w="5571" w:type="pct"/>
        <w:jc w:val="center"/>
        <w:tblInd w:w="-16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50"/>
        <w:gridCol w:w="1276"/>
        <w:gridCol w:w="6237"/>
        <w:gridCol w:w="709"/>
      </w:tblGrid>
      <w:tr w:rsidR="00D02A65" w:rsidRPr="00AA1EF9" w:rsidTr="00404CBA">
        <w:trPr>
          <w:trHeight w:val="632"/>
          <w:jc w:val="center"/>
        </w:trPr>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评价层面</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评价内容</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评价要点</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分值</w:t>
            </w:r>
          </w:p>
        </w:tc>
      </w:tr>
      <w:tr w:rsidR="00D02A65" w:rsidRPr="00AA1EF9" w:rsidTr="00404CBA">
        <w:trPr>
          <w:trHeight w:val="652"/>
          <w:jc w:val="center"/>
        </w:trPr>
        <w:tc>
          <w:tcPr>
            <w:tcW w:w="1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一、专业设置与定位</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1.行业背景调研</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专业设置的背景明确，思路清晰，适应对接行业或区域产业优化升级的要求。</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596"/>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专业布点情况和所属地位分析准确。</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2.人才需求调研</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有对专业从业人员基本情况的分析。（包括职业岗位、职业资格证书的分析）</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w:t>
            </w:r>
          </w:p>
        </w:tc>
      </w:tr>
      <w:tr w:rsidR="00D02A65" w:rsidRPr="00AA1EF9" w:rsidTr="00404CBA">
        <w:trPr>
          <w:trHeight w:val="587"/>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有对专业人才招聘渠道的分析。</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w:t>
            </w:r>
          </w:p>
        </w:tc>
      </w:tr>
      <w:tr w:rsidR="00D02A65" w:rsidRPr="00AA1EF9" w:rsidTr="00404CBA">
        <w:trPr>
          <w:trHeight w:val="553"/>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3.专业定位</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能以学生职业生涯发展为目标，准确进行专业定位。</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547"/>
          <w:jc w:val="center"/>
        </w:trPr>
        <w:tc>
          <w:tcPr>
            <w:tcW w:w="1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二、专业人才培养目标和规格</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1.人才培养目标</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能够以就业为导向确定专业人才具体的知识、能力结构。</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541"/>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能够以就业为导向确定专业人才具体的职业素质要求。</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2.人才培养规格</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能体现共性要求，又凸显个性化的培养规格要求，充分体现“以就业为导向，以能力培养为核心”的职业教育理念，充分体现校企合作、工学结合、工学交替、知行合一等。</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60"/>
          <w:jc w:val="center"/>
        </w:trPr>
        <w:tc>
          <w:tcPr>
            <w:tcW w:w="1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三、职业岗位分析和课程体系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1.岗位分析</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能够根据人才培养目标来分析专业相关职业岗位(群)的任职要求。</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5</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2.体系框架</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对接最新职业标准、行业标准和岗位规范，调整课程结构，确定各课程的任务和要求，明确各课程在专业课程体系中的定位，合理安排课程的前后顺序，构建适应高技能人才成长规律的高职课程体系框架。</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5</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3.措施适当</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紧贴岗位实际工作过程，深化多种模式的课程改革，更新课程内容，统筹规划建设各专业核心课程，建成一批优质的数字化教学资源并得到有效应用。</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5</w:t>
            </w:r>
          </w:p>
        </w:tc>
      </w:tr>
      <w:tr w:rsidR="00D02A65" w:rsidRPr="00AA1EF9" w:rsidTr="00404CBA">
        <w:trPr>
          <w:trHeight w:val="60"/>
          <w:jc w:val="center"/>
        </w:trPr>
        <w:tc>
          <w:tcPr>
            <w:tcW w:w="1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四、专业人才培养模式及实施</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1.人才培养模式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能针对本专业学生职业能力和职业素质培养设计具有本专业特色的专业人才培养模式。</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2.校企融合</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企业参与人才培养质量评价参与度高；人才培养质量的衡量指标选择合理，体现了校企深度融合的特点。</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3.专业教学模式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教学模式与方法灵活，设计具有针对性，体现以学生为主体；项目导向、任务驱动等教学做一体化教学模式推行广泛。</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5</w:t>
            </w:r>
          </w:p>
        </w:tc>
      </w:tr>
      <w:tr w:rsidR="00D02A65" w:rsidRPr="00AA1EF9" w:rsidTr="00404CBA">
        <w:trPr>
          <w:trHeight w:val="540"/>
          <w:jc w:val="center"/>
        </w:trPr>
        <w:tc>
          <w:tcPr>
            <w:tcW w:w="1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五、“双师”结构</w:t>
            </w:r>
            <w:r w:rsidRPr="00C10358">
              <w:rPr>
                <w:rFonts w:ascii="仿宋" w:eastAsia="仿宋" w:hAnsi="仿宋" w:cs="宋体" w:hint="eastAsia"/>
                <w:b/>
                <w:bCs/>
                <w:color w:val="000000"/>
                <w:kern w:val="0"/>
                <w:sz w:val="24"/>
                <w:szCs w:val="24"/>
              </w:rPr>
              <w:lastRenderedPageBreak/>
              <w:t>教师团队</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lastRenderedPageBreak/>
              <w:t>1.团队管理</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善于整合与利用社会资源，能够通过有效的团队管理，形成强大的团队凝聚力和创造力。</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2.师资培养</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通过与企业的深度合作，采取多种手段，培养提高教师的实践教学能力、执教能力、社会服务能力、社会资源整合能力</w:t>
            </w:r>
            <w:r>
              <w:rPr>
                <w:rFonts w:ascii="仿宋" w:eastAsia="仿宋" w:hAnsi="仿宋" w:cs="宋体" w:hint="eastAsia"/>
                <w:color w:val="000000"/>
                <w:kern w:val="0"/>
                <w:sz w:val="24"/>
                <w:szCs w:val="24"/>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4</w:t>
            </w:r>
          </w:p>
        </w:tc>
      </w:tr>
      <w:tr w:rsidR="00D02A65" w:rsidRPr="00AA1EF9" w:rsidTr="00404CBA">
        <w:trPr>
          <w:trHeight w:val="592"/>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建立了“双师”结构的专兼结合的教学团队。</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60"/>
          <w:jc w:val="center"/>
        </w:trPr>
        <w:tc>
          <w:tcPr>
            <w:tcW w:w="1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六、专业教学环境和条件</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1.教学环境</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紧紧围绕专业人才培养目标，积极推进实践教学条件和模式的改革和创新，有融入企业文化的教学环境。</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4</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2.条件分析</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实验、实</w:t>
            </w:r>
            <w:proofErr w:type="gramStart"/>
            <w:r w:rsidRPr="00C10358">
              <w:rPr>
                <w:rFonts w:ascii="仿宋" w:eastAsia="仿宋" w:hAnsi="仿宋" w:cs="宋体" w:hint="eastAsia"/>
                <w:color w:val="000000"/>
                <w:kern w:val="0"/>
                <w:sz w:val="24"/>
                <w:szCs w:val="24"/>
              </w:rPr>
              <w:t>训条件</w:t>
            </w:r>
            <w:proofErr w:type="gramEnd"/>
            <w:r w:rsidRPr="00C10358">
              <w:rPr>
                <w:rFonts w:ascii="仿宋" w:eastAsia="仿宋" w:hAnsi="仿宋" w:cs="宋体" w:hint="eastAsia"/>
                <w:color w:val="000000"/>
                <w:kern w:val="0"/>
                <w:sz w:val="24"/>
                <w:szCs w:val="24"/>
              </w:rPr>
              <w:t>现状分析系统，建设目标明确科学，建设举措有力，实</w:t>
            </w:r>
            <w:proofErr w:type="gramStart"/>
            <w:r w:rsidRPr="00C10358">
              <w:rPr>
                <w:rFonts w:ascii="仿宋" w:eastAsia="仿宋" w:hAnsi="仿宋" w:cs="宋体" w:hint="eastAsia"/>
                <w:color w:val="000000"/>
                <w:kern w:val="0"/>
                <w:sz w:val="24"/>
                <w:szCs w:val="24"/>
              </w:rPr>
              <w:t>训条件</w:t>
            </w:r>
            <w:proofErr w:type="gramEnd"/>
            <w:r w:rsidRPr="00C10358">
              <w:rPr>
                <w:rFonts w:ascii="仿宋" w:eastAsia="仿宋" w:hAnsi="仿宋" w:cs="宋体" w:hint="eastAsia"/>
                <w:color w:val="000000"/>
                <w:kern w:val="0"/>
                <w:sz w:val="24"/>
                <w:szCs w:val="24"/>
              </w:rPr>
              <w:t>满足人才培养需要。</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3.资源库建设</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共享性教学资源库建设思路清晰，目标明确，框架设计合理，建设措施得力，充分体现了校企合作。</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60"/>
          <w:jc w:val="center"/>
        </w:trPr>
        <w:tc>
          <w:tcPr>
            <w:tcW w:w="1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七、专业教学管理机制和质量保障体系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1.管理机制</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能设计出的一套精细的专业教学管理制度来确保本专业的人才培养质量；顶岗实习管理制度、考核标准和操作流程等设计合理规范。</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5</w:t>
            </w:r>
          </w:p>
        </w:tc>
      </w:tr>
      <w:tr w:rsidR="00D02A65" w:rsidRPr="00AA1EF9" w:rsidTr="00404CBA">
        <w:trPr>
          <w:trHeight w:val="6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2.质量体系</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质量保障、监控考核体系建立思路清晰，操作性强。</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5</w:t>
            </w:r>
          </w:p>
        </w:tc>
      </w:tr>
      <w:tr w:rsidR="00D02A65" w:rsidRPr="00AA1EF9" w:rsidTr="00404CBA">
        <w:trPr>
          <w:trHeight w:val="60"/>
          <w:jc w:val="center"/>
        </w:trPr>
        <w:tc>
          <w:tcPr>
            <w:tcW w:w="1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八、专业教学改革的特色和亮点</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1.就业质量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人才培养质量展示充分。毕业生就业水平、就业质量高，社会评价好；在校学生技能比赛参与度高，获奖人次多。</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w:t>
            </w:r>
          </w:p>
        </w:tc>
      </w:tr>
      <w:tr w:rsidR="00D02A65" w:rsidRPr="00AA1EF9" w:rsidTr="00404CBA">
        <w:trPr>
          <w:trHeight w:val="520"/>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2.社会服务</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依托专业开展的社会服务成果丰富，影响力大。</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w:t>
            </w:r>
          </w:p>
        </w:tc>
      </w:tr>
      <w:tr w:rsidR="00D02A65" w:rsidRPr="00AA1EF9" w:rsidTr="00404CBA">
        <w:trPr>
          <w:trHeight w:val="556"/>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3.教改成果</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教学基本建设、教研、教改、科研等成果丰硕。</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w:t>
            </w:r>
          </w:p>
        </w:tc>
      </w:tr>
      <w:tr w:rsidR="00D02A65" w:rsidRPr="00AA1EF9" w:rsidTr="00404CBA">
        <w:trPr>
          <w:trHeight w:val="60"/>
          <w:jc w:val="center"/>
        </w:trPr>
        <w:tc>
          <w:tcPr>
            <w:tcW w:w="10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九、专业建设反思</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1.经验、问题及原因分析</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有经验总结，指出了问题并进行原因分析</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3</w:t>
            </w:r>
          </w:p>
        </w:tc>
      </w:tr>
      <w:tr w:rsidR="00D02A65" w:rsidRPr="00AA1EF9" w:rsidTr="00404CBA">
        <w:trPr>
          <w:trHeight w:val="609"/>
          <w:jc w:val="center"/>
        </w:trPr>
        <w:tc>
          <w:tcPr>
            <w:tcW w:w="10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2.改革思路</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下一步专业建设思路清晰，改革措施具体、可行。</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7</w:t>
            </w:r>
          </w:p>
        </w:tc>
      </w:tr>
      <w:tr w:rsidR="00D02A65" w:rsidRPr="00AA1EF9" w:rsidTr="00404CBA">
        <w:trPr>
          <w:trHeight w:val="845"/>
          <w:jc w:val="center"/>
        </w:trPr>
        <w:tc>
          <w:tcPr>
            <w:tcW w:w="232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b/>
                <w:bCs/>
                <w:color w:val="000000"/>
                <w:kern w:val="0"/>
                <w:sz w:val="24"/>
                <w:szCs w:val="24"/>
              </w:rPr>
              <w:t>十、现场答辩</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left"/>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回答问题要点突出、观点正确，针对性强；语言组织条理清晰、逻辑严密。</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C10358" w:rsidRDefault="00D02A65" w:rsidP="00404CBA">
            <w:pPr>
              <w:widowControl/>
              <w:spacing w:line="400" w:lineRule="exact"/>
              <w:jc w:val="center"/>
              <w:rPr>
                <w:rFonts w:ascii="仿宋" w:eastAsia="仿宋" w:hAnsi="仿宋" w:cs="宋体"/>
                <w:color w:val="000000"/>
                <w:kern w:val="0"/>
                <w:sz w:val="24"/>
                <w:szCs w:val="24"/>
              </w:rPr>
            </w:pPr>
            <w:r w:rsidRPr="00C10358">
              <w:rPr>
                <w:rFonts w:ascii="仿宋" w:eastAsia="仿宋" w:hAnsi="仿宋" w:cs="宋体" w:hint="eastAsia"/>
                <w:color w:val="000000"/>
                <w:kern w:val="0"/>
                <w:sz w:val="24"/>
                <w:szCs w:val="24"/>
              </w:rPr>
              <w:t>10</w:t>
            </w:r>
          </w:p>
        </w:tc>
      </w:tr>
      <w:tr w:rsidR="00D02A65" w:rsidRPr="00AA1EF9" w:rsidTr="00404CBA">
        <w:trPr>
          <w:trHeight w:val="687"/>
          <w:jc w:val="center"/>
        </w:trPr>
        <w:tc>
          <w:tcPr>
            <w:tcW w:w="232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AA1EF9" w:rsidRDefault="00D02A65" w:rsidP="00404CBA">
            <w:pPr>
              <w:widowControl/>
              <w:spacing w:line="400" w:lineRule="exact"/>
              <w:jc w:val="center"/>
              <w:rPr>
                <w:rFonts w:ascii="微软雅黑" w:eastAsia="微软雅黑" w:hAnsi="微软雅黑" w:cs="宋体"/>
                <w:color w:val="000000"/>
                <w:kern w:val="0"/>
                <w:sz w:val="24"/>
                <w:szCs w:val="24"/>
              </w:rPr>
            </w:pPr>
            <w:r w:rsidRPr="00146E2F">
              <w:rPr>
                <w:rFonts w:ascii="微软雅黑" w:eastAsia="微软雅黑" w:hAnsi="微软雅黑" w:cs="宋体" w:hint="eastAsia"/>
                <w:color w:val="000000"/>
                <w:kern w:val="0"/>
                <w:sz w:val="24"/>
                <w:szCs w:val="24"/>
              </w:rPr>
              <w:t>合计</w:t>
            </w:r>
          </w:p>
        </w:tc>
        <w:tc>
          <w:tcPr>
            <w:tcW w:w="694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02A65" w:rsidRPr="00AA1EF9" w:rsidRDefault="00D02A65" w:rsidP="00404CBA">
            <w:pPr>
              <w:widowControl/>
              <w:spacing w:line="400" w:lineRule="exact"/>
              <w:jc w:val="center"/>
              <w:rPr>
                <w:rFonts w:ascii="微软雅黑" w:eastAsia="微软雅黑" w:hAnsi="微软雅黑" w:cs="宋体"/>
                <w:color w:val="000000"/>
                <w:kern w:val="0"/>
                <w:sz w:val="24"/>
                <w:szCs w:val="24"/>
              </w:rPr>
            </w:pPr>
          </w:p>
        </w:tc>
      </w:tr>
    </w:tbl>
    <w:p w:rsidR="007A1BAC" w:rsidRDefault="007A1BAC">
      <w:bookmarkStart w:id="0" w:name="_GoBack"/>
      <w:bookmarkEnd w:id="0"/>
    </w:p>
    <w:sectPr w:rsidR="007A1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9EC" w:rsidRDefault="00CD19EC" w:rsidP="00D02A65">
      <w:r>
        <w:separator/>
      </w:r>
    </w:p>
  </w:endnote>
  <w:endnote w:type="continuationSeparator" w:id="0">
    <w:p w:rsidR="00CD19EC" w:rsidRDefault="00CD19EC" w:rsidP="00D0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9EC" w:rsidRDefault="00CD19EC" w:rsidP="00D02A65">
      <w:r>
        <w:separator/>
      </w:r>
    </w:p>
  </w:footnote>
  <w:footnote w:type="continuationSeparator" w:id="0">
    <w:p w:rsidR="00CD19EC" w:rsidRDefault="00CD19EC" w:rsidP="00D02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54"/>
    <w:rsid w:val="00491754"/>
    <w:rsid w:val="007A1BAC"/>
    <w:rsid w:val="00CD19EC"/>
    <w:rsid w:val="00D0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A65"/>
    <w:rPr>
      <w:sz w:val="18"/>
      <w:szCs w:val="18"/>
    </w:rPr>
  </w:style>
  <w:style w:type="paragraph" w:styleId="a4">
    <w:name w:val="footer"/>
    <w:basedOn w:val="a"/>
    <w:link w:val="Char0"/>
    <w:uiPriority w:val="99"/>
    <w:unhideWhenUsed/>
    <w:rsid w:val="00D02A65"/>
    <w:pPr>
      <w:tabs>
        <w:tab w:val="center" w:pos="4153"/>
        <w:tab w:val="right" w:pos="8306"/>
      </w:tabs>
      <w:snapToGrid w:val="0"/>
      <w:jc w:val="left"/>
    </w:pPr>
    <w:rPr>
      <w:sz w:val="18"/>
      <w:szCs w:val="18"/>
    </w:rPr>
  </w:style>
  <w:style w:type="character" w:customStyle="1" w:styleId="Char0">
    <w:name w:val="页脚 Char"/>
    <w:basedOn w:val="a0"/>
    <w:link w:val="a4"/>
    <w:uiPriority w:val="99"/>
    <w:rsid w:val="00D02A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A65"/>
    <w:rPr>
      <w:sz w:val="18"/>
      <w:szCs w:val="18"/>
    </w:rPr>
  </w:style>
  <w:style w:type="paragraph" w:styleId="a4">
    <w:name w:val="footer"/>
    <w:basedOn w:val="a"/>
    <w:link w:val="Char0"/>
    <w:uiPriority w:val="99"/>
    <w:unhideWhenUsed/>
    <w:rsid w:val="00D02A65"/>
    <w:pPr>
      <w:tabs>
        <w:tab w:val="center" w:pos="4153"/>
        <w:tab w:val="right" w:pos="8306"/>
      </w:tabs>
      <w:snapToGrid w:val="0"/>
      <w:jc w:val="left"/>
    </w:pPr>
    <w:rPr>
      <w:sz w:val="18"/>
      <w:szCs w:val="18"/>
    </w:rPr>
  </w:style>
  <w:style w:type="character" w:customStyle="1" w:styleId="Char0">
    <w:name w:val="页脚 Char"/>
    <w:basedOn w:val="a0"/>
    <w:link w:val="a4"/>
    <w:uiPriority w:val="99"/>
    <w:rsid w:val="00D02A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2017-05-09T01:45:00Z</dcterms:created>
  <dcterms:modified xsi:type="dcterms:W3CDTF">2017-05-09T01:46:00Z</dcterms:modified>
</cp:coreProperties>
</file>