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3" w:beforeLines="0" w:after="163" w:afterLines="0"/>
      </w:pPr>
      <w:bookmarkStart w:id="8" w:name="_GoBack"/>
      <w:bookmarkEnd w:id="8"/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37"/>
                              <w:spacing w:before="163" w:beforeLines="0" w:after="163" w:afterLines="0"/>
                            </w:pPr>
                            <w:r>
                              <w:rPr>
                                <w:rFonts w:hint="eastAsia"/>
                              </w:rPr>
                              <w:t>内部资料</w:t>
                            </w:r>
                          </w:p>
                          <w:p>
                            <w:pPr>
                              <w:pStyle w:val="37"/>
                              <w:spacing w:before="163" w:beforeLines="0" w:after="163" w:afterLines="0"/>
                            </w:pPr>
                            <w:r>
                              <w:rPr>
                                <w:rFonts w:hint="eastAsia"/>
                              </w:rPr>
                              <w:t>注意保密</w:t>
                            </w:r>
                          </w:p>
                        </w:txbxContent>
                      </wps:txbx>
                      <wps:bodyPr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15.6pt;height:62.4pt;width:90pt;z-index:1024;mso-width-relative:page;mso-height-relative:page;" fillcolor="#FFFFFF" filled="t" stroked="t" coordsize="21600,21600" o:gfxdata="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/mGiNgAAAAKAQAADwAAAAAAAAABACAA&#10;AAAiAAAAZHJzL2Rvd25yZXYueG1sUEsBAhQAFAAAAAgAh07iQELx6jMNAgAAC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2.54mm,1.3mm,2.54mm,1.27mm">
                  <w:txbxContent>
                    <w:p>
                      <w:pPr>
                        <w:pStyle w:val="37"/>
                        <w:spacing w:before="163" w:beforeLines="0" w:after="163" w:afterLines="0"/>
                      </w:pPr>
                      <w:r>
                        <w:rPr>
                          <w:rFonts w:hint="eastAsia"/>
                        </w:rPr>
                        <w:t>内部资料</w:t>
                      </w:r>
                    </w:p>
                    <w:p>
                      <w:pPr>
                        <w:pStyle w:val="37"/>
                        <w:spacing w:before="163" w:beforeLines="0" w:after="163" w:afterLines="0"/>
                      </w:pPr>
                      <w:r>
                        <w:rPr>
                          <w:rFonts w:hint="eastAsia"/>
                        </w:rPr>
                        <w:t>注意保密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2"/>
      </w:pPr>
    </w:p>
    <w:p>
      <w:pPr>
        <w:pStyle w:val="31"/>
      </w:pPr>
    </w:p>
    <w:p>
      <w:pPr>
        <w:pStyle w:val="31"/>
      </w:pPr>
    </w:p>
    <w:p>
      <w:pPr>
        <w:pStyle w:val="27"/>
        <w:spacing w:before="163" w:after="163"/>
      </w:pPr>
      <w:r>
        <w:rPr>
          <w:rFonts w:hint="eastAsia"/>
        </w:rPr>
        <w:t>福建省文明校园</w:t>
      </w:r>
    </w:p>
    <w:p>
      <w:pPr>
        <w:pStyle w:val="27"/>
        <w:spacing w:before="163" w:after="163"/>
      </w:pPr>
      <w:r>
        <w:rPr>
          <w:rFonts w:hint="eastAsia"/>
        </w:rPr>
        <w:t>材料申报操作手册</w:t>
      </w:r>
    </w:p>
    <w:p>
      <w:pPr>
        <w:pStyle w:val="34"/>
        <w:spacing w:before="326" w:beforeLines="0" w:after="326" w:afterLines="0"/>
      </w:pPr>
    </w:p>
    <w:p>
      <w:pPr>
        <w:pStyle w:val="34"/>
        <w:spacing w:before="326" w:beforeLines="0" w:after="326" w:afterLines="0"/>
      </w:pPr>
    </w:p>
    <w:p>
      <w:pPr>
        <w:pStyle w:val="34"/>
        <w:spacing w:before="326" w:beforeLines="0" w:after="326" w:afterLines="0"/>
      </w:pPr>
    </w:p>
    <w:p>
      <w:pPr>
        <w:pStyle w:val="34"/>
        <w:spacing w:before="326" w:beforeLines="0" w:after="326" w:afterLines="0"/>
      </w:pPr>
    </w:p>
    <w:p>
      <w:pPr>
        <w:pStyle w:val="34"/>
        <w:spacing w:before="326" w:beforeLines="0" w:after="326" w:afterLines="0"/>
      </w:pPr>
    </w:p>
    <w:p>
      <w:pPr>
        <w:pStyle w:val="38"/>
        <w:spacing w:before="163" w:beforeLines="0" w:after="163" w:afterLines="0"/>
        <w:jc w:val="both"/>
      </w:pPr>
    </w:p>
    <w:p>
      <w:pPr>
        <w:spacing w:before="163" w:beforeLines="0" w:after="163" w:afterLines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titlePg/>
          <w:docGrid w:type="linesAndChars" w:linePitch="326" w:charSpace="0"/>
        </w:sectPr>
      </w:pPr>
    </w:p>
    <w:p>
      <w:pPr>
        <w:pStyle w:val="36"/>
      </w:pPr>
      <w:r>
        <w:t>目  录</w:t>
      </w:r>
    </w:p>
    <w:p>
      <w:pPr>
        <w:pStyle w:val="20"/>
        <w:tabs>
          <w:tab w:val="left" w:pos="630"/>
          <w:tab w:val="right" w:leader="dot" w:pos="9060"/>
        </w:tabs>
        <w:spacing w:before="163" w:after="163"/>
        <w:rPr>
          <w:rFonts w:ascii="Calibri" w:hAnsi="Calibri" w:eastAsia="宋体" w:cs="Arial"/>
          <w:b w:val="0"/>
          <w:sz w:val="21"/>
          <w:szCs w:val="22"/>
        </w:rPr>
      </w:pPr>
      <w:r>
        <w:rPr>
          <w:b w:val="0"/>
          <w:sz w:val="21"/>
        </w:rPr>
        <w:fldChar w:fldCharType="begin"/>
      </w:r>
      <w:r>
        <w:rPr>
          <w:b w:val="0"/>
          <w:sz w:val="21"/>
        </w:rPr>
        <w:instrText xml:space="preserve"> TOC \o "1-3" \h \z \u </w:instrText>
      </w:r>
      <w:r>
        <w:rPr>
          <w:b w:val="0"/>
          <w:sz w:val="21"/>
        </w:rPr>
        <w:fldChar w:fldCharType="separate"/>
      </w:r>
      <w:r>
        <w:fldChar w:fldCharType="begin"/>
      </w:r>
      <w:r>
        <w:instrText xml:space="preserve">Hyperlink \l "_Toc529869063"</w:instrText>
      </w:r>
      <w:r>
        <w:fldChar w:fldCharType="separate"/>
      </w:r>
      <w:r>
        <w:t>1</w:t>
      </w:r>
      <w:r>
        <w:rPr>
          <w:rFonts w:ascii="Calibri" w:hAnsi="Calibri" w:eastAsia="宋体" w:cs="Arial"/>
          <w:b w:val="0"/>
          <w:sz w:val="21"/>
          <w:szCs w:val="22"/>
        </w:rPr>
        <w:tab/>
      </w:r>
      <w:r>
        <w:rPr>
          <w:rFonts w:hint="eastAsia"/>
        </w:rPr>
        <w:t>系统操作手册下载</w:t>
      </w:r>
      <w:r>
        <w:tab/>
      </w:r>
      <w:r>
        <w:fldChar w:fldCharType="begin"/>
      </w:r>
      <w:r>
        <w:instrText xml:space="preserve"> PAGEREF _Toc529869063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630"/>
          <w:tab w:val="right" w:leader="dot" w:pos="9060"/>
        </w:tabs>
        <w:rPr>
          <w:rFonts w:ascii="Calibri" w:hAnsi="Calibri" w:eastAsia="宋体" w:cs="Arial"/>
          <w:b w:val="0"/>
          <w:sz w:val="21"/>
          <w:szCs w:val="22"/>
        </w:rPr>
      </w:pPr>
      <w:r>
        <w:fldChar w:fldCharType="begin"/>
      </w:r>
      <w:r>
        <w:instrText xml:space="preserve">Hyperlink \l "_Toc529869064"</w:instrText>
      </w:r>
      <w:r>
        <w:fldChar w:fldCharType="separate"/>
      </w:r>
      <w:r>
        <w:t>2</w:t>
      </w:r>
      <w:r>
        <w:rPr>
          <w:rFonts w:ascii="Calibri" w:hAnsi="Calibri" w:eastAsia="宋体" w:cs="Arial"/>
          <w:b w:val="0"/>
          <w:sz w:val="21"/>
          <w:szCs w:val="22"/>
        </w:rPr>
        <w:tab/>
      </w:r>
      <w:r>
        <w:rPr>
          <w:rFonts w:hint="eastAsia"/>
        </w:rPr>
        <w:t>材料申报操作说明</w:t>
      </w:r>
      <w:r>
        <w:tab/>
      </w:r>
      <w:r>
        <w:fldChar w:fldCharType="begin"/>
      </w:r>
      <w:r>
        <w:instrText xml:space="preserve"> PAGEREF _Toc529869064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1"/>
        <w:rPr>
          <w:rFonts w:ascii="Calibri" w:hAnsi="Calibri" w:eastAsia="宋体" w:cs="Arial"/>
          <w:szCs w:val="22"/>
        </w:rPr>
      </w:pPr>
      <w:r>
        <w:fldChar w:fldCharType="begin"/>
      </w:r>
      <w:r>
        <w:instrText xml:space="preserve">Hyperlink \l "_Toc529869065"</w:instrText>
      </w:r>
      <w:r>
        <w:fldChar w:fldCharType="separate"/>
      </w:r>
      <w:r>
        <w:t>2.1</w:t>
      </w:r>
      <w:r>
        <w:rPr>
          <w:rFonts w:ascii="Calibri" w:hAnsi="Calibri" w:eastAsia="宋体" w:cs="Arial"/>
          <w:szCs w:val="22"/>
        </w:rPr>
        <w:tab/>
      </w:r>
      <w:r>
        <w:rPr>
          <w:rFonts w:hint="eastAsia"/>
        </w:rPr>
        <w:t>角色：已取得参评资格的校园</w:t>
      </w:r>
      <w:r>
        <w:tab/>
      </w:r>
      <w:r>
        <w:fldChar w:fldCharType="begin"/>
      </w:r>
      <w:r>
        <w:instrText xml:space="preserve"> PAGEREF _Toc529869065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rFonts w:ascii="Calibri" w:hAnsi="Calibri" w:eastAsia="宋体" w:cs="Arial"/>
          <w:szCs w:val="22"/>
        </w:rPr>
      </w:pPr>
      <w:r>
        <w:fldChar w:fldCharType="begin"/>
      </w:r>
      <w:r>
        <w:instrText xml:space="preserve">Hyperlink \l "_Toc529869066"</w:instrText>
      </w:r>
      <w:r>
        <w:fldChar w:fldCharType="separate"/>
      </w:r>
      <w:r>
        <w:t>2.1.1</w:t>
      </w:r>
      <w:r>
        <w:rPr>
          <w:rFonts w:ascii="Calibri" w:hAnsi="Calibri" w:eastAsia="宋体" w:cs="Arial"/>
          <w:szCs w:val="22"/>
        </w:rPr>
        <w:tab/>
      </w:r>
      <w:r>
        <w:rPr>
          <w:rFonts w:hint="eastAsia"/>
        </w:rPr>
        <w:t>登录</w:t>
      </w:r>
      <w:r>
        <w:tab/>
      </w:r>
      <w:r>
        <w:fldChar w:fldCharType="begin"/>
      </w:r>
      <w:r>
        <w:instrText xml:space="preserve"> PAGEREF _Toc529869066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rFonts w:ascii="Calibri" w:hAnsi="Calibri" w:eastAsia="宋体" w:cs="Arial"/>
          <w:szCs w:val="22"/>
        </w:rPr>
      </w:pPr>
      <w:r>
        <w:fldChar w:fldCharType="begin"/>
      </w:r>
      <w:r>
        <w:instrText xml:space="preserve">Hyperlink \l "_Toc529869067"</w:instrText>
      </w:r>
      <w:r>
        <w:fldChar w:fldCharType="separate"/>
      </w:r>
      <w:r>
        <w:t>2.1.2</w:t>
      </w:r>
      <w:r>
        <w:rPr>
          <w:rFonts w:ascii="Calibri" w:hAnsi="Calibri" w:eastAsia="宋体" w:cs="Arial"/>
          <w:szCs w:val="22"/>
        </w:rPr>
        <w:tab/>
      </w:r>
      <w:r>
        <w:rPr>
          <w:rFonts w:hint="eastAsia"/>
        </w:rPr>
        <w:t>材料申报页面</w:t>
      </w:r>
      <w:r>
        <w:tab/>
      </w:r>
      <w:r>
        <w:fldChar w:fldCharType="begin"/>
      </w:r>
      <w:r>
        <w:instrText xml:space="preserve"> PAGEREF _Toc529869067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rFonts w:ascii="Calibri" w:hAnsi="Calibri" w:eastAsia="宋体" w:cs="Arial"/>
          <w:szCs w:val="22"/>
        </w:rPr>
      </w:pPr>
      <w:r>
        <w:fldChar w:fldCharType="begin"/>
      </w:r>
      <w:r>
        <w:instrText xml:space="preserve">Hyperlink \l "_Toc529869068"</w:instrText>
      </w:r>
      <w:r>
        <w:fldChar w:fldCharType="separate"/>
      </w:r>
      <w:r>
        <w:t>2.1.3</w:t>
      </w:r>
      <w:r>
        <w:rPr>
          <w:rFonts w:ascii="Calibri" w:hAnsi="Calibri" w:eastAsia="宋体" w:cs="Arial"/>
          <w:szCs w:val="22"/>
        </w:rPr>
        <w:tab/>
      </w:r>
      <w:r>
        <w:rPr>
          <w:rFonts w:hint="eastAsia"/>
        </w:rPr>
        <w:t>材料申报上传材料</w:t>
      </w:r>
      <w:r>
        <w:tab/>
      </w:r>
      <w:r>
        <w:fldChar w:fldCharType="begin"/>
      </w:r>
      <w:r>
        <w:instrText xml:space="preserve"> PAGEREF _Toc529869068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spacing w:before="163" w:after="163"/>
        <w:rPr>
          <w:rFonts w:ascii="Calibri" w:hAnsi="Calibri" w:eastAsia="宋体" w:cs="Arial"/>
          <w:szCs w:val="22"/>
        </w:rPr>
      </w:pPr>
      <w:r>
        <w:fldChar w:fldCharType="begin"/>
      </w:r>
      <w:r>
        <w:instrText xml:space="preserve">Hyperlink \l "_Toc529869069"</w:instrText>
      </w:r>
      <w:r>
        <w:fldChar w:fldCharType="separate"/>
      </w:r>
      <w:r>
        <w:t>2.1.4</w:t>
      </w:r>
      <w:r>
        <w:rPr>
          <w:rFonts w:ascii="Calibri" w:hAnsi="Calibri" w:eastAsia="宋体" w:cs="Arial"/>
          <w:szCs w:val="22"/>
        </w:rPr>
        <w:tab/>
      </w:r>
      <w:r>
        <w:rPr>
          <w:rFonts w:hint="eastAsia"/>
        </w:rPr>
        <w:t>其他说明</w:t>
      </w:r>
      <w:r>
        <w:tab/>
      </w:r>
      <w:r>
        <w:fldChar w:fldCharType="begin"/>
      </w:r>
      <w:r>
        <w:instrText xml:space="preserve"> PAGEREF _Toc529869069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spacing w:before="156" w:beforeLines="0" w:after="156" w:afterLines="0"/>
        <w:sectPr>
          <w:footerReference r:id="rId9" w:type="default"/>
          <w:pgSz w:w="11906" w:h="16838"/>
          <w:pgMar w:top="1440" w:right="1418" w:bottom="1440" w:left="1418" w:header="851" w:footer="992" w:gutter="0"/>
          <w:docGrid w:type="linesAndChars" w:linePitch="326" w:charSpace="0"/>
        </w:sectPr>
      </w:pPr>
      <w:r>
        <w:rPr>
          <w:b/>
          <w:sz w:val="21"/>
        </w:rPr>
        <w:fldChar w:fldCharType="end"/>
      </w:r>
    </w:p>
    <w:p>
      <w:pPr>
        <w:pStyle w:val="2"/>
        <w:spacing w:before="163" w:beforeLines="0" w:after="163" w:afterLines="0"/>
        <w:jc w:val="center"/>
      </w:pPr>
      <w:bookmarkStart w:id="0" w:name="_Toc529869063"/>
      <w:r>
        <w:rPr>
          <w:rFonts w:hint="eastAsia"/>
        </w:rPr>
        <w:t>系统操作手册下载</w:t>
      </w:r>
      <w:bookmarkEnd w:id="0"/>
    </w:p>
    <w:p>
      <w:pPr>
        <w:pStyle w:val="3"/>
        <w:spacing w:before="163" w:beforeLines="0" w:after="163" w:afterLines="0"/>
        <w:rPr>
          <w:b/>
          <w:color w:val="FF0000"/>
        </w:rPr>
      </w:pPr>
      <w:r>
        <w:rPr>
          <w:rFonts w:hint="eastAsia"/>
        </w:rPr>
        <w:t>打开浏览器，在地址栏输入：</w:t>
      </w:r>
      <w:r>
        <w:rPr>
          <w:rStyle w:val="25"/>
        </w:rPr>
        <w:t>http://www.fjwmb.gov.cn</w:t>
      </w:r>
      <w:r>
        <w:rPr>
          <w:rFonts w:hint="eastAsia"/>
        </w:rPr>
        <w:t>，即可进入福建省精神文明创建测评系统。</w:t>
      </w:r>
      <w:r>
        <w:rPr>
          <w:rFonts w:hint="eastAsia"/>
          <w:b/>
          <w:color w:val="FF0000"/>
        </w:rPr>
        <w:t>如无法正常使用请下载、使用谷歌浏览器。</w:t>
      </w:r>
    </w:p>
    <w:p>
      <w:pPr>
        <w:pStyle w:val="3"/>
        <w:spacing w:before="163" w:beforeLines="0" w:after="163" w:afterLines="0"/>
      </w:pPr>
      <w:r>
        <w:rPr>
          <w:rFonts w:hint="eastAsia"/>
        </w:rPr>
        <w:t>点击“系统操作手册下载”，进入手册下载页面，点击所要下载的手册，即可下载成功。点击已下载的手册，即可打开查看。</w:t>
      </w:r>
    </w:p>
    <w:p>
      <w:pPr>
        <w:pStyle w:val="3"/>
        <w:spacing w:before="163" w:beforeLines="0" w:after="163" w:afterLines="0"/>
        <w:ind w:firstLine="0" w:firstLineChars="0"/>
      </w:pPr>
      <w:r>
        <w:drawing>
          <wp:inline distT="0" distB="0" distL="0" distR="0">
            <wp:extent cx="5486400" cy="2132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29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63" w:beforeLines="0" w:after="163" w:afterLines="0"/>
        <w:ind w:firstLine="0" w:firstLineChars="0"/>
      </w:pPr>
      <w:r>
        <w:drawing>
          <wp:inline distT="0" distB="0" distL="0" distR="0">
            <wp:extent cx="5486400" cy="2625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5725"/>
                    </a:xfrm>
                    <a:prstGeom prst="rect">
                      <a:avLst/>
                    </a:prstGeom>
                    <a:noFill/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63" w:beforeLines="0" w:after="163" w:afterLines="0"/>
        <w:jc w:val="center"/>
        <w:rPr>
          <w:sz w:val="28"/>
        </w:rPr>
      </w:pPr>
      <w:bookmarkStart w:id="1" w:name="_Toc529869064"/>
      <w:r>
        <w:rPr>
          <w:rFonts w:hint="eastAsia"/>
        </w:rPr>
        <w:t>材料申报操作说明</w:t>
      </w:r>
      <w:bookmarkEnd w:id="1"/>
    </w:p>
    <w:p>
      <w:pPr>
        <w:pStyle w:val="4"/>
        <w:spacing w:before="163" w:beforeLines="0" w:after="163" w:afterLines="0"/>
      </w:pPr>
      <w:bookmarkStart w:id="2" w:name="_Toc449981563"/>
      <w:bookmarkStart w:id="3" w:name="_Toc529869065"/>
      <w:r>
        <w:rPr>
          <w:rFonts w:hint="eastAsia"/>
        </w:rPr>
        <w:t>角色：</w:t>
      </w:r>
      <w:bookmarkEnd w:id="2"/>
      <w:r>
        <w:rPr>
          <w:rFonts w:hint="eastAsia"/>
        </w:rPr>
        <w:t>已取得参评资格的校园</w:t>
      </w:r>
      <w:bookmarkEnd w:id="3"/>
    </w:p>
    <w:p>
      <w:pPr>
        <w:pStyle w:val="5"/>
        <w:spacing w:before="163" w:beforeLines="0" w:after="163" w:afterLines="0"/>
      </w:pPr>
      <w:bookmarkStart w:id="4" w:name="_Toc529869066"/>
      <w:r>
        <w:rPr>
          <w:rFonts w:hint="eastAsia"/>
        </w:rPr>
        <w:t>登录</w:t>
      </w:r>
      <w:bookmarkEnd w:id="4"/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rPr>
          <w:b/>
          <w:color w:val="FF0000"/>
        </w:rPr>
      </w:pPr>
      <w:r>
        <w:rPr>
          <w:rFonts w:hint="eastAsia"/>
        </w:rPr>
        <w:t>已进行资格申报并审核通过获得参评资格的校园，在材料申报开始后，可以登录系统进行材料申报。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rPr>
          <w:b/>
          <w:color w:val="FF0000"/>
        </w:rPr>
      </w:pPr>
      <w:r>
        <w:rPr>
          <w:rFonts w:hint="eastAsia"/>
        </w:rPr>
        <w:t>打开浏览器，在地址栏输入：</w:t>
      </w:r>
      <w:r>
        <w:rPr>
          <w:rStyle w:val="25"/>
        </w:rPr>
        <w:t>http://www.fjwmb.gov.cn</w:t>
      </w:r>
      <w:r>
        <w:rPr>
          <w:rFonts w:hint="eastAsia"/>
        </w:rPr>
        <w:t>，即可进入福建省精神文明创建测评系统（</w:t>
      </w:r>
      <w:r>
        <w:rPr>
          <w:rFonts w:hint="eastAsia"/>
          <w:b/>
          <w:color w:val="FF0000"/>
        </w:rPr>
        <w:t>如无法正常使用请下载、使用谷歌浏览器</w:t>
      </w:r>
      <w:r>
        <w:rPr>
          <w:rFonts w:hint="eastAsia"/>
        </w:rPr>
        <w:t>），输入帐号及密码，登录系统（帐号即参评资格申报注册时系统发送的帐号）。</w:t>
      </w:r>
    </w:p>
    <w:p>
      <w:pPr>
        <w:pStyle w:val="3"/>
        <w:spacing w:before="163" w:beforeLines="0" w:after="163" w:afterLines="0"/>
      </w:pPr>
      <w:r>
        <w:drawing>
          <wp:inline distT="0" distB="0" distL="0" distR="0">
            <wp:extent cx="5486400" cy="2099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057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63" w:beforeLines="0" w:after="163" w:afterLines="0"/>
      </w:pPr>
      <w:bookmarkStart w:id="5" w:name="_Toc529869067"/>
      <w:r>
        <w:rPr>
          <w:rFonts w:hint="eastAsia"/>
        </w:rPr>
        <w:t>材料申报页面</w:t>
      </w:r>
      <w:bookmarkEnd w:id="5"/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</w:pPr>
      <w:r>
        <w:rPr>
          <w:rFonts w:hint="eastAsia"/>
        </w:rPr>
        <w:t>材料申报菜单将于申报时间开始后开启，届时进行用户登录方可看到。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已取得参评资格的校园，登录系统后，点击“材料申报”菜单，系统会自动加载需要进行材料申报的指标目录树，用户选择相应的目录，即可展现该指标对应的标准条目。</w:t>
      </w:r>
    </w:p>
    <w:p>
      <w:pPr>
        <w:widowControl/>
        <w:spacing w:before="163" w:beforeLines="0" w:after="163" w:afterLines="0"/>
        <w:jc w:val="center"/>
        <w:rPr>
          <w:rFonts w:ascii="宋体" w:cs="宋体"/>
          <w:kern w:val="0"/>
          <w:szCs w:val="24"/>
        </w:rPr>
      </w:pPr>
      <w:r>
        <w:drawing>
          <wp:inline distT="0" distB="0" distL="0" distR="0">
            <wp:extent cx="5486400" cy="2886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60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指标目录树：</w:t>
      </w:r>
    </w:p>
    <w:p>
      <w:pPr>
        <w:pStyle w:val="3"/>
        <w:numPr>
          <w:ilvl w:val="0"/>
          <w:numId w:val="6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指标目录树会展现登</w:t>
      </w:r>
      <w:r>
        <w:t>录</w:t>
      </w:r>
      <w:r>
        <w:rPr>
          <w:rFonts w:hint="eastAsia"/>
        </w:rPr>
        <w:t>校园需要进行材料申报的指标，用户通过点击目录树可以选择相应的指标，指标所对应的标准条目会在右侧的条目列表展现；</w:t>
      </w:r>
    </w:p>
    <w:p>
      <w:pPr>
        <w:pStyle w:val="3"/>
        <w:numPr>
          <w:ilvl w:val="0"/>
          <w:numId w:val="6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二级目录的后面会展现由“（1/3）”的形式展现该指标当前的申报情况，“/”后的数字表示当前申报时段（届初、届中或届末）的需要上传材料的标准条目数，“/”前的数字表示当前申报时段已经上传并提交的标准条目数（已上传保存但未提交的不计算）。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标准条目列表：</w:t>
      </w:r>
    </w:p>
    <w:p>
      <w:pPr>
        <w:pStyle w:val="3"/>
        <w:numPr>
          <w:ilvl w:val="0"/>
          <w:numId w:val="7"/>
        </w:numPr>
        <w:spacing w:before="163" w:beforeLines="0" w:after="163" w:afterLines="0"/>
        <w:ind w:firstLineChars="0"/>
      </w:pPr>
      <w:r>
        <w:rPr>
          <w:rFonts w:hint="eastAsia"/>
        </w:rPr>
        <w:t>标准条目列表由“序号”、“测评标准”、“测评方式”、“状态”、“操作”栏组成；</w:t>
      </w:r>
    </w:p>
    <w:p>
      <w:pPr>
        <w:pStyle w:val="3"/>
        <w:numPr>
          <w:ilvl w:val="0"/>
          <w:numId w:val="7"/>
        </w:numPr>
        <w:spacing w:before="163" w:beforeLines="0" w:after="163" w:afterLines="0"/>
        <w:ind w:firstLineChars="0"/>
      </w:pPr>
      <w:r>
        <w:rPr>
          <w:rFonts w:hint="eastAsia"/>
        </w:rPr>
        <w:t>“测评标准”栏会展现测评标准的具体内容；</w:t>
      </w:r>
    </w:p>
    <w:p>
      <w:pPr>
        <w:pStyle w:val="3"/>
        <w:numPr>
          <w:ilvl w:val="0"/>
          <w:numId w:val="7"/>
        </w:numPr>
        <w:spacing w:before="163" w:beforeLines="0" w:after="163" w:afterLines="0"/>
        <w:ind w:firstLineChars="0"/>
      </w:pPr>
      <w:r>
        <w:rPr>
          <w:rFonts w:hint="eastAsia"/>
        </w:rPr>
        <w:t>“测评方式”栏会显示该标准条目的测评时间和测评方式；</w:t>
      </w:r>
    </w:p>
    <w:p>
      <w:pPr>
        <w:pStyle w:val="3"/>
        <w:numPr>
          <w:ilvl w:val="0"/>
          <w:numId w:val="7"/>
        </w:numPr>
        <w:spacing w:before="163" w:beforeLines="0" w:after="163" w:afterLines="0"/>
        <w:ind w:firstLineChars="0"/>
      </w:pPr>
      <w:r>
        <w:rPr>
          <w:rFonts w:hint="eastAsia"/>
        </w:rPr>
        <w:t>“状态”栏会展现该标准条目在相应申报时段的申报状态：</w:t>
      </w:r>
    </w:p>
    <w:p>
      <w:pPr>
        <w:pStyle w:val="3"/>
        <w:numPr>
          <w:ilvl w:val="0"/>
          <w:numId w:val="8"/>
        </w:numPr>
        <w:spacing w:before="163" w:beforeLines="0" w:after="163" w:afterLines="0"/>
        <w:ind w:firstLineChars="0"/>
      </w:pPr>
      <w:r>
        <w:rPr>
          <w:rFonts w:hint="eastAsia"/>
        </w:rPr>
        <w:t>“未开始”：表示该条目的未到达申报时间，不能进行材料申报；</w:t>
      </w:r>
    </w:p>
    <w:p>
      <w:pPr>
        <w:pStyle w:val="3"/>
        <w:numPr>
          <w:ilvl w:val="0"/>
          <w:numId w:val="8"/>
        </w:numPr>
        <w:spacing w:before="163" w:beforeLines="0" w:after="163" w:afterLines="0"/>
        <w:ind w:firstLineChars="0"/>
      </w:pPr>
      <w:r>
        <w:rPr>
          <w:rFonts w:hint="eastAsia"/>
        </w:rPr>
        <w:t>“</w:t>
      </w:r>
      <w:r>
        <w:t>未</w:t>
      </w:r>
      <w:r>
        <w:rPr>
          <w:rFonts w:hint="eastAsia"/>
        </w:rPr>
        <w:t>上传”：表示该条目可以进行材料申报，点击申报按钮可以上传材料；</w:t>
      </w:r>
    </w:p>
    <w:p>
      <w:pPr>
        <w:pStyle w:val="3"/>
        <w:numPr>
          <w:ilvl w:val="0"/>
          <w:numId w:val="8"/>
        </w:numPr>
        <w:spacing w:before="163" w:beforeLines="0" w:after="163" w:afterLines="0"/>
        <w:ind w:firstLineChars="0"/>
      </w:pPr>
      <w:r>
        <w:rPr>
          <w:rFonts w:hint="eastAsia"/>
        </w:rPr>
        <w:t>“待提交”：表示该条目处于未提交状态，可以修改申报材料；</w:t>
      </w:r>
    </w:p>
    <w:p>
      <w:pPr>
        <w:pStyle w:val="3"/>
        <w:numPr>
          <w:ilvl w:val="0"/>
          <w:numId w:val="8"/>
        </w:numPr>
        <w:spacing w:before="163" w:beforeLines="0" w:after="163" w:afterLines="0"/>
        <w:ind w:firstLineChars="0"/>
      </w:pPr>
      <w:r>
        <w:rPr>
          <w:rFonts w:hint="eastAsia"/>
        </w:rPr>
        <w:t>“已申报”：表示该条目已提交申报材料，不能再修改申报材料；</w:t>
      </w:r>
    </w:p>
    <w:p>
      <w:pPr>
        <w:pStyle w:val="3"/>
        <w:numPr>
          <w:ilvl w:val="0"/>
          <w:numId w:val="8"/>
        </w:numPr>
        <w:spacing w:before="163" w:beforeLines="0" w:after="163" w:afterLines="0"/>
        <w:ind w:firstLineChars="0"/>
      </w:pPr>
      <w:r>
        <w:rPr>
          <w:rFonts w:hint="eastAsia"/>
        </w:rPr>
        <w:t>“已结束”：表示该条目的申报时间已结束，不能修改申报材料；</w:t>
      </w:r>
    </w:p>
    <w:p>
      <w:pPr>
        <w:pStyle w:val="3"/>
        <w:spacing w:before="163" w:beforeLines="0" w:after="163" w:afterLines="0"/>
        <w:ind w:firstLine="480" w:firstLineChars="0"/>
      </w:pPr>
      <w:r>
        <w:rPr>
          <w:rFonts w:hint="eastAsia"/>
        </w:rPr>
        <w:t>5.“操作”栏会展现材料申报的操作按钮，每个申报时段（届初、届中和届末）都有各自的申报按钮，在申报时间内点击按钮可以进行材料上传和提交。非申报时间内点击按钮可以查看已经申报的材料，并下载保存在本地电脑；</w:t>
      </w:r>
    </w:p>
    <w:p>
      <w:pPr>
        <w:pStyle w:val="5"/>
        <w:spacing w:before="163" w:beforeLines="0" w:after="163" w:afterLines="0"/>
      </w:pPr>
      <w:bookmarkStart w:id="6" w:name="_Toc529869068"/>
      <w:r>
        <w:rPr>
          <w:rFonts w:hint="eastAsia"/>
        </w:rPr>
        <w:t>材料申报上传材料</w:t>
      </w:r>
      <w:bookmarkEnd w:id="6"/>
    </w:p>
    <w:p>
      <w:pPr>
        <w:spacing w:before="163" w:beforeLines="0" w:after="163" w:afterLines="0"/>
        <w:jc w:val="center"/>
      </w:pPr>
      <w:r>
        <w:drawing>
          <wp:inline distT="0" distB="0" distL="0" distR="0">
            <wp:extent cx="5484495" cy="25717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5084" cy="25717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63" w:beforeLines="0" w:after="163" w:afterLines="0"/>
        <w:jc w:val="center"/>
      </w:pPr>
      <w:r>
        <w:drawing>
          <wp:inline distT="0" distB="0" distL="0" distR="0">
            <wp:extent cx="5486400" cy="26479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上传操作：</w:t>
      </w:r>
    </w:p>
    <w:p>
      <w:pPr>
        <w:pStyle w:val="3"/>
        <w:numPr>
          <w:ilvl w:val="0"/>
          <w:numId w:val="9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用户点击申报按钮后页面会弹出上传窗口；</w:t>
      </w:r>
    </w:p>
    <w:p>
      <w:pPr>
        <w:pStyle w:val="3"/>
        <w:numPr>
          <w:ilvl w:val="0"/>
          <w:numId w:val="9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点击“上传”按钮，可以从本地电脑选择相应的材料上传（仅支持上传pdf格式的文件和jpg格式的图片，单个文件大小2M以内）；</w:t>
      </w:r>
    </w:p>
    <w:p>
      <w:pPr>
        <w:pStyle w:val="3"/>
        <w:numPr>
          <w:ilvl w:val="0"/>
          <w:numId w:val="9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材料上传完成后会显示“上传成功”提示，进度条未加载完成的则未上传成功；</w:t>
      </w:r>
    </w:p>
    <w:p>
      <w:pPr>
        <w:pStyle w:val="3"/>
        <w:numPr>
          <w:ilvl w:val="0"/>
          <w:numId w:val="9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材料上传完成后，点击</w:t>
      </w:r>
      <w:r>
        <w:rPr>
          <w:rFonts w:hint="eastAsia"/>
          <w:b/>
          <w:bCs/>
          <w:color w:val="FF0000"/>
        </w:rPr>
        <w:t>“保存”，</w:t>
      </w:r>
      <w:r>
        <w:rPr>
          <w:rFonts w:hint="eastAsia"/>
        </w:rPr>
        <w:t>已上传的材料会保存在系统中，用户还可以进行材料的新增和删除。</w:t>
      </w:r>
    </w:p>
    <w:p>
      <w:pPr>
        <w:pStyle w:val="3"/>
        <w:numPr>
          <w:ilvl w:val="0"/>
          <w:numId w:val="9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材料上传完成后，点击</w:t>
      </w:r>
      <w:r>
        <w:rPr>
          <w:rFonts w:hint="eastAsia"/>
          <w:b/>
          <w:bCs/>
          <w:color w:val="FF0000"/>
        </w:rPr>
        <w:t>“提交”，</w:t>
      </w:r>
      <w:r>
        <w:rPr>
          <w:rFonts w:hint="eastAsia"/>
        </w:rPr>
        <w:t>已上传的材料会提交审核，此时用户不能再进行材料的新增和删除，仅可查看或下载已申报的材料。</w:t>
      </w:r>
    </w:p>
    <w:p>
      <w:pPr>
        <w:pStyle w:val="5"/>
        <w:spacing w:before="163" w:beforeLines="0" w:after="163" w:afterLines="0"/>
      </w:pPr>
      <w:bookmarkStart w:id="7" w:name="_Toc529869069"/>
      <w:r>
        <w:rPr>
          <w:rFonts w:hint="eastAsia"/>
        </w:rPr>
        <w:t>其他说明</w:t>
      </w:r>
      <w:bookmarkEnd w:id="7"/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t>为加强文明校园创建的常态化管理，请在</w:t>
      </w:r>
      <w:r>
        <w:rPr>
          <w:b/>
          <w:color w:val="FF0000"/>
        </w:rPr>
        <w:t>届中、届末</w:t>
      </w:r>
      <w:r>
        <w:rPr>
          <w:rFonts w:hint="eastAsia"/>
        </w:rPr>
        <w:t>两</w:t>
      </w:r>
      <w:r>
        <w:t>个时段规定的时间内，在文件制定、活动开展之后</w:t>
      </w:r>
      <w:r>
        <w:rPr>
          <w:b/>
          <w:color w:val="FF0000"/>
        </w:rPr>
        <w:t>20个日历日内</w:t>
      </w:r>
      <w:r>
        <w:t>上传提交相关材料。超过报送时限，该项目不得分</w:t>
      </w:r>
      <w:r>
        <w:rPr>
          <w:rFonts w:hint="eastAsia"/>
          <w:b/>
          <w:color w:val="FF0000"/>
        </w:rPr>
        <w:t>（届初申报的材料不受此限制）</w:t>
      </w:r>
      <w:r>
        <w:t>；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  <w:rPr>
          <w:color w:val="FF0000"/>
        </w:rPr>
      </w:pPr>
      <w:r>
        <w:rPr>
          <w:rFonts w:hint="eastAsia"/>
        </w:rPr>
        <w:t>上传时文件须按规范格式命名，文件名统一按照“制定计划或开展活动的年月日”加“计划名称或活动名称”来命名，如：“20190409关于我校开展清明节活动的相关照片”。</w:t>
      </w:r>
      <w:r>
        <w:rPr>
          <w:rFonts w:hint="eastAsia"/>
          <w:b/>
          <w:color w:val="FF0000"/>
        </w:rPr>
        <w:t>请特别注意，文件名的命名时间是制定计划或开展活动的时间，而不是上传材料的时间</w:t>
      </w:r>
      <w:r>
        <w:rPr>
          <w:b/>
          <w:color w:val="FF0000"/>
        </w:rPr>
        <w:t>；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用户在申报时段内注意查看指标上传情况，申报时间结束后，用户不能再上传和提交申报材料的操作；</w:t>
      </w:r>
    </w:p>
    <w:p>
      <w:pPr>
        <w:pStyle w:val="3"/>
        <w:numPr>
          <w:ilvl w:val="0"/>
          <w:numId w:val="5"/>
        </w:numPr>
        <w:spacing w:before="163" w:beforeLines="0" w:after="163" w:afterLines="0"/>
        <w:ind w:firstLineChars="0"/>
        <w:jc w:val="left"/>
      </w:pPr>
      <w:r>
        <w:rPr>
          <w:rFonts w:hint="eastAsia"/>
        </w:rPr>
        <w:t>在申报时间结束后，系统会自动将用户未上传或未提交的标准条目自动提交，交由上级单位审核。</w:t>
      </w:r>
    </w:p>
    <w:sectPr>
      <w:footerReference r:id="rId11" w:type="default"/>
      <w:headerReference r:id="rId10" w:type="even"/>
      <w:pgSz w:w="11906" w:h="16838"/>
      <w:pgMar w:top="1440" w:right="1418" w:bottom="1440" w:left="1418" w:header="851" w:footer="992" w:gutter="0"/>
      <w:titlePg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beforeLines="0" w:after="120" w:afterLine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beforeLines="0" w:after="120" w:afterLine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18"/>
      <w:spacing w:before="120" w:beforeLines="0" w:after="120" w:afterLine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beforeLines="0" w:after="120" w:afterLine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8"/>
      <w:spacing w:before="120" w:beforeLines="0" w:after="120" w:afterLines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beforeLines="0" w:after="120" w:afterLine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beforeLines="0" w:after="120" w:afterLine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spacing w:before="120" w:beforeLines="0" w:after="120" w:afterLine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beforeLines="0" w:after="120" w:afterLines="0"/>
      <w:jc w:val="right"/>
    </w:pPr>
    <w:r>
      <w:rPr>
        <w:rFonts w:hint="eastAsia"/>
      </w:rPr>
      <w:t xml:space="preserve">                                                  福建省文明校园材料申报操作手册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beforeLines="0" w:after="120" w:afterLines="0"/>
      <w:jc w:val="right"/>
    </w:pPr>
    <w:r>
      <w:rPr>
        <w:rFonts w:hint="eastAsia"/>
      </w:rPr>
      <w:t>福建省文明校园材料申报操作手册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beforeLines="0" w:after="120" w:afterLines="0"/>
      <w:jc w:val="right"/>
    </w:pPr>
    <w:r>
      <w:rPr>
        <w:rFonts w:hint="eastAsia"/>
      </w:rPr>
      <w:t>福建省文明校园材料申报操作手册</w:t>
    </w:r>
  </w:p>
  <w:p>
    <w:pPr>
      <w:spacing w:before="120" w:beforeLines="0" w:after="120" w:afterLines="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beforeLines="0" w:after="120" w:afterLines="0"/>
      <w:jc w:val="right"/>
    </w:pPr>
    <w:r>
      <w:rPr>
        <w:rFonts w:hint="eastAsia"/>
      </w:rPr>
      <w:t>福建省文明校园材料申报操作手册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3AA1D"/>
    <w:multiLevelType w:val="multilevel"/>
    <w:tmpl w:val="EBB3AA1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53B525E"/>
    <w:multiLevelType w:val="multilevel"/>
    <w:tmpl w:val="053B525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abstractNum w:abstractNumId="2">
    <w:nsid w:val="0AC42944"/>
    <w:multiLevelType w:val="multilevel"/>
    <w:tmpl w:val="0AC42944"/>
    <w:lvl w:ilvl="0" w:tentative="0">
      <w:start w:val="1"/>
      <w:numFmt w:val="bullet"/>
      <w:pStyle w:val="29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265C5A91"/>
    <w:multiLevelType w:val="multilevel"/>
    <w:tmpl w:val="265C5A91"/>
    <w:lvl w:ilvl="0" w:tentative="0">
      <w:start w:val="1"/>
      <w:numFmt w:val="bullet"/>
      <w:lvlText w:val=""/>
      <w:lvlJc w:val="left"/>
      <w:pPr>
        <w:tabs>
          <w:tab w:val="left" w:pos="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338700F0"/>
    <w:multiLevelType w:val="multilevel"/>
    <w:tmpl w:val="338700F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abstractNum w:abstractNumId="5">
    <w:nsid w:val="3928604D"/>
    <w:multiLevelType w:val="multilevel"/>
    <w:tmpl w:val="3928604D"/>
    <w:lvl w:ilvl="0" w:tentative="0">
      <w:start w:val="1"/>
      <w:numFmt w:val="decimal"/>
      <w:pStyle w:val="28"/>
      <w:lvlText w:val="%1."/>
      <w:lvlJc w:val="left"/>
      <w:pPr>
        <w:tabs>
          <w:tab w:val="left" w:pos="842"/>
        </w:tabs>
        <w:ind w:left="842" w:hanging="360"/>
      </w:pPr>
      <w:rPr>
        <w:rFonts w:hint="default" w:ascii="Arial" w:hAnsi="Arial" w:eastAsia="宋体" w:cs="Arial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6">
    <w:nsid w:val="396C248B"/>
    <w:multiLevelType w:val="multilevel"/>
    <w:tmpl w:val="396C248B"/>
    <w:lvl w:ilvl="0" w:tentative="0">
      <w:start w:val="1"/>
      <w:numFmt w:val="decimalEnclosedCircle"/>
      <w:lvlText w:val="%1"/>
      <w:lvlJc w:val="left"/>
      <w:pPr>
        <w:tabs>
          <w:tab w:val="left" w:pos="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620" w:hanging="420"/>
      </w:pPr>
    </w:lvl>
  </w:abstractNum>
  <w:abstractNum w:abstractNumId="7">
    <w:nsid w:val="3A5F1AD3"/>
    <w:multiLevelType w:val="multilevel"/>
    <w:tmpl w:val="3A5F1AD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abstractNum w:abstractNumId="8">
    <w:nsid w:val="61164534"/>
    <w:multiLevelType w:val="multilevel"/>
    <w:tmpl w:val="61164534"/>
    <w:lvl w:ilvl="0" w:tentative="0">
      <w:start w:val="1"/>
      <w:numFmt w:val="bullet"/>
      <w:pStyle w:val="30"/>
      <w:lvlText w:val="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A6350DC"/>
    <w:rsid w:val="7FD04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50" w:beforeLines="50" w:after="50" w:afterLines="50" w:line="360" w:lineRule="auto"/>
      <w:jc w:val="both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3"/>
    <w:uiPriority w:val="0"/>
    <w:pPr>
      <w:keepNext/>
      <w:keepLines/>
      <w:widowControl w:val="0"/>
      <w:numPr>
        <w:ilvl w:val="0"/>
        <w:numId w:val="1"/>
      </w:numPr>
      <w:jc w:val="left"/>
      <w:outlineLvl w:val="0"/>
    </w:pPr>
    <w:rPr>
      <w:b/>
      <w:bCs/>
      <w:kern w:val="44"/>
      <w:sz w:val="36"/>
      <w:szCs w:val="32"/>
    </w:rPr>
  </w:style>
  <w:style w:type="paragraph" w:styleId="4">
    <w:name w:val="heading 2"/>
    <w:basedOn w:val="1"/>
    <w:next w:val="3"/>
    <w:uiPriority w:val="0"/>
    <w:pPr>
      <w:keepNext/>
      <w:keepLines/>
      <w:widowControl w:val="0"/>
      <w:numPr>
        <w:ilvl w:val="1"/>
        <w:numId w:val="1"/>
      </w:numPr>
      <w:jc w:val="left"/>
      <w:outlineLvl w:val="1"/>
    </w:pPr>
    <w:rPr>
      <w:b/>
      <w:bCs/>
      <w:sz w:val="32"/>
      <w:szCs w:val="30"/>
    </w:rPr>
  </w:style>
  <w:style w:type="paragraph" w:styleId="5">
    <w:name w:val="heading 3"/>
    <w:basedOn w:val="1"/>
    <w:next w:val="3"/>
    <w:uiPriority w:val="0"/>
    <w:pPr>
      <w:keepNext/>
      <w:keepLines/>
      <w:widowControl w:val="0"/>
      <w:numPr>
        <w:ilvl w:val="2"/>
        <w:numId w:val="1"/>
      </w:numPr>
      <w:ind w:right="100" w:rightChars="100"/>
      <w:jc w:val="left"/>
      <w:outlineLvl w:val="2"/>
    </w:pPr>
    <w:rPr>
      <w:b/>
      <w:bCs/>
      <w:sz w:val="30"/>
      <w:szCs w:val="28"/>
    </w:rPr>
  </w:style>
  <w:style w:type="paragraph" w:styleId="6">
    <w:name w:val="heading 4"/>
    <w:basedOn w:val="1"/>
    <w:next w:val="3"/>
    <w:uiPriority w:val="0"/>
    <w:pPr>
      <w:keepNext/>
      <w:keepLines/>
      <w:widowControl w:val="0"/>
      <w:numPr>
        <w:ilvl w:val="3"/>
        <w:numId w:val="1"/>
      </w:numPr>
      <w:ind w:right="100" w:rightChars="100"/>
      <w:jc w:val="left"/>
      <w:outlineLvl w:val="3"/>
    </w:pPr>
    <w:rPr>
      <w:b/>
      <w:bCs/>
      <w:sz w:val="28"/>
    </w:rPr>
  </w:style>
  <w:style w:type="paragraph" w:styleId="7">
    <w:name w:val="heading 5"/>
    <w:basedOn w:val="1"/>
    <w:next w:val="3"/>
    <w:uiPriority w:val="0"/>
    <w:pPr>
      <w:keepNext/>
      <w:keepLines/>
      <w:widowControl w:val="0"/>
      <w:numPr>
        <w:ilvl w:val="4"/>
        <w:numId w:val="1"/>
      </w:numPr>
      <w:jc w:val="left"/>
      <w:outlineLvl w:val="4"/>
    </w:pPr>
    <w:rPr>
      <w:b/>
      <w:bCs/>
    </w:rPr>
  </w:style>
  <w:style w:type="paragraph" w:styleId="8">
    <w:name w:val="heading 6"/>
    <w:basedOn w:val="1"/>
    <w:next w:val="3"/>
    <w:uiPriority w:val="0"/>
    <w:pPr>
      <w:keepNext/>
      <w:keepLines/>
      <w:widowControl w:val="0"/>
      <w:numPr>
        <w:ilvl w:val="5"/>
        <w:numId w:val="1"/>
      </w:numPr>
      <w:jc w:val="left"/>
      <w:outlineLvl w:val="5"/>
    </w:pPr>
    <w:rPr>
      <w:b/>
      <w:bCs/>
    </w:rPr>
  </w:style>
  <w:style w:type="paragraph" w:styleId="9">
    <w:name w:val="heading 7"/>
    <w:basedOn w:val="1"/>
    <w:next w:val="1"/>
    <w:uiPriority w:val="0"/>
    <w:pPr>
      <w:keepNext/>
      <w:keepLines/>
      <w:widowControl w:val="0"/>
      <w:numPr>
        <w:ilvl w:val="6"/>
        <w:numId w:val="1"/>
      </w:numPr>
      <w:spacing w:before="240" w:beforeLines="0" w:after="64" w:afterLines="0" w:line="319" w:lineRule="auto"/>
      <w:outlineLvl w:val="6"/>
    </w:pPr>
    <w:rPr>
      <w:b/>
      <w:bCs/>
    </w:rPr>
  </w:style>
  <w:style w:type="paragraph" w:styleId="10">
    <w:name w:val="heading 8"/>
    <w:basedOn w:val="1"/>
    <w:next w:val="1"/>
    <w:uiPriority w:val="0"/>
    <w:pPr>
      <w:keepNext/>
      <w:keepLines/>
      <w:widowControl w:val="0"/>
      <w:numPr>
        <w:ilvl w:val="7"/>
        <w:numId w:val="1"/>
      </w:numPr>
      <w:spacing w:before="240" w:beforeLines="0" w:after="64" w:afterLines="0" w:line="319" w:lineRule="auto"/>
      <w:outlineLvl w:val="7"/>
    </w:pPr>
  </w:style>
  <w:style w:type="paragraph" w:styleId="11">
    <w:name w:val="heading 9"/>
    <w:basedOn w:val="1"/>
    <w:next w:val="1"/>
    <w:uiPriority w:val="0"/>
    <w:pPr>
      <w:keepNext/>
      <w:keepLines/>
      <w:widowControl w:val="0"/>
      <w:numPr>
        <w:ilvl w:val="8"/>
        <w:numId w:val="1"/>
      </w:numPr>
      <w:spacing w:before="240" w:beforeLines="0" w:after="64" w:afterLines="0" w:line="319" w:lineRule="auto"/>
      <w:outlineLvl w:val="8"/>
    </w:pPr>
  </w:style>
  <w:style w:type="character" w:default="1" w:styleId="23">
    <w:name w:val="Default Paragraph Font"/>
    <w:uiPriority w:val="0"/>
  </w:style>
  <w:style w:type="table" w:default="1" w:styleId="2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12">
    <w:name w:val="toc 7"/>
    <w:basedOn w:val="1"/>
    <w:next w:val="1"/>
    <w:uiPriority w:val="0"/>
    <w:pPr>
      <w:spacing w:before="50" w:beforeLines="0" w:after="50" w:afterLines="0"/>
      <w:ind w:left="1260"/>
      <w:jc w:val="left"/>
    </w:pPr>
    <w:rPr>
      <w:rFonts w:ascii="Times New Roman" w:hAnsi="Times New Roman"/>
    </w:rPr>
  </w:style>
  <w:style w:type="paragraph" w:styleId="13">
    <w:name w:val="caption"/>
    <w:basedOn w:val="1"/>
    <w:next w:val="1"/>
    <w:qFormat/>
    <w:uiPriority w:val="0"/>
    <w:pPr>
      <w:jc w:val="center"/>
    </w:pPr>
    <w:rPr>
      <w:rFonts w:cs="Arial"/>
      <w:b/>
    </w:rPr>
  </w:style>
  <w:style w:type="paragraph" w:styleId="14">
    <w:name w:val="Document Map"/>
    <w:basedOn w:val="1"/>
    <w:uiPriority w:val="0"/>
    <w:pPr>
      <w:shd w:val="clear" w:color="auto" w:fill="000080"/>
    </w:pPr>
  </w:style>
  <w:style w:type="paragraph" w:styleId="15">
    <w:name w:val="toc 3"/>
    <w:basedOn w:val="1"/>
    <w:next w:val="1"/>
    <w:uiPriority w:val="0"/>
    <w:pPr>
      <w:tabs>
        <w:tab w:val="left" w:pos="1680"/>
        <w:tab w:val="right" w:leader="dot" w:pos="8990"/>
      </w:tabs>
      <w:spacing w:before="50" w:beforeLines="0" w:after="50" w:afterLines="0"/>
      <w:ind w:left="400" w:leftChars="400"/>
      <w:jc w:val="left"/>
    </w:pPr>
    <w:rPr>
      <w:sz w:val="21"/>
    </w:rPr>
  </w:style>
  <w:style w:type="paragraph" w:styleId="16">
    <w:name w:val="Date"/>
    <w:basedOn w:val="1"/>
    <w:next w:val="1"/>
    <w:uiPriority w:val="0"/>
    <w:pPr>
      <w:spacing w:before="0" w:beforeLines="0" w:after="0" w:afterLines="0" w:line="240" w:lineRule="auto"/>
      <w:ind w:left="2500" w:leftChars="2500"/>
    </w:pPr>
    <w:rPr>
      <w:rFonts w:ascii="Calibri" w:hAnsi="Calibri" w:cs="Arial"/>
      <w:sz w:val="21"/>
      <w:szCs w:val="22"/>
    </w:rPr>
  </w:style>
  <w:style w:type="paragraph" w:styleId="17">
    <w:name w:val="Balloon Text"/>
    <w:basedOn w:val="1"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0"/>
    <w:pPr>
      <w:spacing w:before="50" w:beforeLines="0" w:after="50" w:afterLines="0"/>
      <w:jc w:val="left"/>
    </w:pPr>
    <w:rPr>
      <w:b/>
    </w:rPr>
  </w:style>
  <w:style w:type="paragraph" w:styleId="21">
    <w:name w:val="toc 2"/>
    <w:basedOn w:val="1"/>
    <w:next w:val="1"/>
    <w:qFormat/>
    <w:uiPriority w:val="0"/>
    <w:pPr>
      <w:tabs>
        <w:tab w:val="left" w:pos="1050"/>
        <w:tab w:val="right" w:leader="dot" w:pos="8990"/>
      </w:tabs>
      <w:spacing w:before="50" w:beforeLines="0" w:after="50" w:afterLines="0"/>
      <w:ind w:left="200" w:leftChars="200"/>
      <w:jc w:val="left"/>
    </w:pPr>
    <w:rPr>
      <w:sz w:val="21"/>
    </w:rPr>
  </w:style>
  <w:style w:type="paragraph" w:styleId="2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paragraph" w:customStyle="1" w:styleId="27">
    <w:name w:val="文档名称"/>
    <w:basedOn w:val="1"/>
    <w:next w:val="3"/>
    <w:qFormat/>
    <w:uiPriority w:val="0"/>
    <w:pPr>
      <w:spacing w:before="374" w:beforeLines="0" w:after="374" w:afterLines="0"/>
      <w:jc w:val="center"/>
    </w:pPr>
    <w:rPr>
      <w:rFonts w:cs="宋体"/>
      <w:b/>
      <w:sz w:val="84"/>
      <w:szCs w:val="20"/>
    </w:rPr>
  </w:style>
  <w:style w:type="paragraph" w:customStyle="1" w:styleId="28">
    <w:name w:val="序号"/>
    <w:basedOn w:val="1"/>
    <w:qFormat/>
    <w:uiPriority w:val="0"/>
    <w:pPr>
      <w:numPr>
        <w:ilvl w:val="0"/>
        <w:numId w:val="2"/>
      </w:numPr>
      <w:ind w:left="906" w:hanging="425"/>
    </w:pPr>
  </w:style>
  <w:style w:type="paragraph" w:customStyle="1" w:styleId="29">
    <w:name w:val="小标题"/>
    <w:basedOn w:val="1"/>
    <w:next w:val="3"/>
    <w:qFormat/>
    <w:uiPriority w:val="0"/>
    <w:pPr>
      <w:numPr>
        <w:ilvl w:val="0"/>
        <w:numId w:val="3"/>
      </w:numPr>
      <w:ind w:left="425" w:hanging="425"/>
      <w:jc w:val="left"/>
    </w:pPr>
    <w:rPr>
      <w:b/>
    </w:rPr>
  </w:style>
  <w:style w:type="paragraph" w:customStyle="1" w:styleId="30">
    <w:name w:val="项目排列"/>
    <w:basedOn w:val="1"/>
    <w:uiPriority w:val="0"/>
    <w:pPr>
      <w:numPr>
        <w:ilvl w:val="0"/>
        <w:numId w:val="4"/>
      </w:numPr>
      <w:ind w:left="906" w:hanging="425"/>
    </w:pPr>
  </w:style>
  <w:style w:type="paragraph" w:customStyle="1" w:styleId="31">
    <w:name w:val="表格文字"/>
    <w:basedOn w:val="1"/>
    <w:qFormat/>
    <w:uiPriority w:val="0"/>
    <w:pPr>
      <w:spacing w:before="50" w:beforeLines="0" w:after="50" w:afterLines="0"/>
      <w:jc w:val="left"/>
    </w:pPr>
    <w:rPr>
      <w:kern w:val="21"/>
      <w:sz w:val="21"/>
      <w:szCs w:val="18"/>
    </w:rPr>
  </w:style>
  <w:style w:type="paragraph" w:customStyle="1" w:styleId="32">
    <w:name w:val="表格标题"/>
    <w:basedOn w:val="31"/>
    <w:next w:val="31"/>
    <w:uiPriority w:val="0"/>
    <w:pPr>
      <w:jc w:val="center"/>
    </w:pPr>
    <w:rPr>
      <w:b/>
      <w:sz w:val="24"/>
    </w:rPr>
  </w:style>
  <w:style w:type="paragraph" w:customStyle="1" w:styleId="33">
    <w:name w:val="说明文字"/>
    <w:basedOn w:val="1"/>
    <w:next w:val="3"/>
    <w:qFormat/>
    <w:uiPriority w:val="0"/>
    <w:rPr>
      <w:i/>
      <w:color w:val="0000FF"/>
    </w:rPr>
  </w:style>
  <w:style w:type="paragraph" w:customStyle="1" w:styleId="34">
    <w:name w:val="样式 文档标题 + 段前: 1 行 段后: 1 行"/>
    <w:basedOn w:val="1"/>
    <w:qFormat/>
    <w:uiPriority w:val="0"/>
    <w:pPr>
      <w:spacing w:before="100" w:beforeLines="100" w:after="100" w:afterLines="100" w:line="300" w:lineRule="auto"/>
      <w:jc w:val="center"/>
    </w:pPr>
    <w:rPr>
      <w:rFonts w:eastAsia="黑体" w:cs="宋体"/>
      <w:b/>
      <w:bCs/>
      <w:sz w:val="48"/>
      <w:szCs w:val="20"/>
    </w:rPr>
  </w:style>
  <w:style w:type="paragraph" w:customStyle="1" w:styleId="35">
    <w:name w:val="A封面1"/>
    <w:basedOn w:val="1"/>
    <w:qFormat/>
    <w:uiPriority w:val="0"/>
    <w:pPr>
      <w:spacing w:before="50" w:beforeLines="0" w:after="50" w:afterLines="0"/>
      <w:ind w:firstLine="420"/>
      <w:jc w:val="center"/>
    </w:pPr>
    <w:rPr>
      <w:rFonts w:ascii="黑体" w:hAnsi="黑体" w:cs="宋体"/>
      <w:b/>
      <w:bCs/>
      <w:sz w:val="84"/>
      <w:szCs w:val="20"/>
    </w:rPr>
  </w:style>
  <w:style w:type="paragraph" w:customStyle="1" w:styleId="36">
    <w:name w:val="A封面3"/>
    <w:basedOn w:val="1"/>
    <w:qFormat/>
    <w:uiPriority w:val="0"/>
    <w:pPr>
      <w:spacing w:before="50" w:beforeLines="0" w:after="50" w:afterLines="0"/>
      <w:jc w:val="center"/>
    </w:pPr>
    <w:rPr>
      <w:rFonts w:cs="宋体"/>
      <w:b/>
      <w:bCs/>
      <w:sz w:val="30"/>
      <w:szCs w:val="20"/>
    </w:rPr>
  </w:style>
  <w:style w:type="paragraph" w:customStyle="1" w:styleId="37">
    <w:name w:val="A封面正文"/>
    <w:basedOn w:val="1"/>
    <w:uiPriority w:val="0"/>
    <w:pPr>
      <w:snapToGrid w:val="0"/>
      <w:jc w:val="center"/>
    </w:pPr>
    <w:rPr>
      <w:szCs w:val="30"/>
    </w:rPr>
  </w:style>
  <w:style w:type="paragraph" w:customStyle="1" w:styleId="38">
    <w:name w:val="A封面2"/>
    <w:basedOn w:val="37"/>
    <w:qFormat/>
    <w:uiPriority w:val="0"/>
    <w:rPr>
      <w:rFonts w:ascii="黑体" w:hAnsi="黑体" w:cs="宋体"/>
      <w:b/>
      <w:bCs/>
      <w:sz w:val="32"/>
      <w:szCs w:val="20"/>
    </w:rPr>
  </w:style>
  <w:style w:type="paragraph" w:customStyle="1" w:styleId="39">
    <w:name w:val="TOC 标题1"/>
    <w:basedOn w:val="2"/>
    <w:next w:val="1"/>
    <w:qFormat/>
    <w:uiPriority w:val="0"/>
    <w:pPr>
      <w:numPr>
        <w:ilvl w:val="0"/>
        <w:numId w:val="0"/>
      </w:numPr>
      <w:spacing w:before="340" w:beforeLines="0" w:after="330" w:afterLines="0" w:line="578" w:lineRule="auto"/>
      <w:jc w:val="both"/>
      <w:outlineLvl w:val="9"/>
    </w:pPr>
    <w:rPr>
      <w:sz w:val="44"/>
      <w:szCs w:val="44"/>
    </w:rPr>
  </w:style>
  <w:style w:type="paragraph" w:customStyle="1" w:styleId="40">
    <w:name w:val="列出段落1"/>
    <w:basedOn w:val="1"/>
    <w:uiPriority w:val="0"/>
    <w:pPr>
      <w:spacing w:before="0" w:beforeLines="0" w:after="0" w:afterLines="0" w:line="240" w:lineRule="auto"/>
      <w:ind w:firstLine="200" w:firstLineChars="200"/>
    </w:pPr>
    <w:rPr>
      <w:rFonts w:ascii="Calibri" w:hAnsi="Calibri" w:cs="Arial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厦门亿力吉奥信息科技有限公司</Company>
  <Pages>7</Pages>
  <Words>1557</Words>
  <Characters>1675</Characters>
  <Lines>87</Lines>
  <Paragraphs>47</Paragraphs>
  <TotalTime>22</TotalTime>
  <ScaleCrop>false</ScaleCrop>
  <LinksUpToDate>false</LinksUpToDate>
  <CharactersWithSpaces>1723</CharactersWithSpaces>
  <Application>WPS Office_10.1.0.7668_F1E327BC-269C-435d-A152-05C5408002CA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2018-11-13T02:17:00Z</dcterms:created>
  <dc:creator>cyf</dc:creator>
  <dc:description>2010年3月</dc:description>
  <cp:keywords>v1.0</cp:keywords>
  <cp:lastModifiedBy>应安泉</cp:lastModifiedBy>
  <cp:lastPrinted>2018-11-14T06:43:30Z</cp:lastPrinted>
  <dcterms:modified xsi:type="dcterms:W3CDTF">2018-11-14T06:43:59Z</dcterms:modified>
  <dc:subject>文档名称</dc:subject>
  <dc:title>&lt;项目名称&gt;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