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424" w:leftChars="-202"/>
        <w:jc w:val="center"/>
        <w:rPr>
          <w:rFonts w:hint="eastAsia" w:ascii="宋体" w:hAnsi="宋体"/>
          <w:b/>
          <w:color w:val="FF0000"/>
          <w:spacing w:val="40"/>
          <w:w w:val="80"/>
          <w:kern w:val="15"/>
          <w:sz w:val="24"/>
          <w:szCs w:val="24"/>
        </w:rPr>
      </w:pPr>
    </w:p>
    <w:p>
      <w:pPr>
        <w:ind w:left="-424" w:leftChars="-202"/>
        <w:jc w:val="center"/>
        <w:rPr>
          <w:rFonts w:hint="eastAsia" w:ascii="宋体" w:hAnsi="宋体"/>
          <w:b/>
          <w:color w:val="FF0000"/>
          <w:spacing w:val="40"/>
          <w:w w:val="80"/>
          <w:kern w:val="15"/>
          <w:sz w:val="24"/>
          <w:szCs w:val="24"/>
        </w:rPr>
      </w:pPr>
    </w:p>
    <w:p>
      <w:pPr>
        <w:ind w:left="-424" w:leftChars="-202"/>
        <w:jc w:val="center"/>
        <w:rPr>
          <w:rFonts w:hint="eastAsia" w:ascii="Bookman Old Style" w:hAnsi="Bookman Old Style"/>
          <w:b/>
          <w:color w:val="FF0000"/>
          <w:spacing w:val="40"/>
          <w:w w:val="80"/>
          <w:kern w:val="15"/>
          <w:sz w:val="88"/>
          <w:szCs w:val="88"/>
        </w:rPr>
      </w:pPr>
      <w:r>
        <w:rPr>
          <w:rFonts w:hint="eastAsia" w:ascii="Bookman Old Style" w:hAnsi="Bookman Old Style"/>
          <w:b/>
          <w:color w:val="FF0000"/>
          <w:spacing w:val="40"/>
          <w:w w:val="80"/>
          <w:kern w:val="15"/>
          <w:sz w:val="88"/>
          <w:szCs w:val="88"/>
        </w:rPr>
        <w:t>福建省教育厅办公室文件</w:t>
      </w:r>
    </w:p>
    <w:p>
      <w:pPr>
        <w:jc w:val="center"/>
        <w:rPr>
          <w:rFonts w:hint="eastAsia" w:ascii="仿宋_GB2312" w:eastAsia="仿宋_GB2312"/>
          <w:sz w:val="32"/>
          <w:szCs w:val="32"/>
        </w:rPr>
      </w:pPr>
    </w:p>
    <w:p>
      <w:pPr>
        <w:jc w:val="center"/>
        <w:rPr>
          <w:rFonts w:hint="eastAsia" w:ascii="仿宋_GB2312" w:eastAsia="仿宋_GB2312"/>
          <w:sz w:val="32"/>
          <w:szCs w:val="32"/>
        </w:rPr>
      </w:pPr>
      <w:bookmarkStart w:id="0" w:name="文件编号"/>
      <w:r>
        <w:rPr>
          <w:rFonts w:hint="eastAsia" w:ascii="仿宋_GB2312" w:eastAsia="仿宋_GB2312"/>
          <w:sz w:val="32"/>
          <w:szCs w:val="32"/>
          <w:lang w:eastAsia="zh-CN"/>
        </w:rPr>
        <w:t>闽教办职成〔2018〕</w:t>
      </w:r>
      <w:bookmarkEnd w:id="0"/>
      <w:r>
        <w:rPr>
          <w:rFonts w:hint="eastAsia" w:ascii="仿宋_GB2312" w:eastAsia="仿宋_GB2312"/>
          <w:sz w:val="32"/>
          <w:szCs w:val="32"/>
          <w:lang w:val="en-US" w:eastAsia="zh-CN"/>
        </w:rPr>
        <w:t>32</w:t>
      </w:r>
      <w:r>
        <w:rPr>
          <w:rFonts w:hint="eastAsia" w:ascii="仿宋_GB2312" w:eastAsia="仿宋_GB2312"/>
          <w:sz w:val="32"/>
          <w:szCs w:val="32"/>
        </w:rPr>
        <w:t>号</w:t>
      </w:r>
    </w:p>
    <w:p>
      <w:pPr>
        <w:tabs>
          <w:tab w:val="left" w:pos="7513"/>
        </w:tabs>
        <w:ind w:right="183" w:rightChars="87"/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146685</wp:posOffset>
                </wp:positionV>
                <wp:extent cx="5610225" cy="8890"/>
                <wp:effectExtent l="0" t="0" r="0" b="0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10225" cy="8890"/>
                        </a:xfrm>
                        <a:prstGeom prst="straightConnector1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-0.75pt;margin-top:11.55pt;height:0.7pt;width:441.75pt;z-index:251663360;mso-width-relative:page;mso-height-relative:page;" filled="f" stroked="t" coordsize="21600,21600" o:gfxdata="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If02h2QAAAAgBAAAPAAAAAAAAAAEAIAAAACIAAABkcnMvZG93bnJldi54bWxQSwECFAAU&#10;AAAACACHTuJAl0A+evABAACsAwAADgAAAAAAAAABACAAAAAoAQAAZHJzL2Uyb0RvYy54bWxQSwUG&#10;AAAAAAYABgBZAQAAigUAAAAA&#10;">
                <v:fill on="f" focussize="0,0"/>
                <v:stroke weight="2pt" color="#FF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center"/>
        <w:textAlignment w:val="auto"/>
        <w:outlineLvl w:val="9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  <w:lang w:eastAsia="zh-CN"/>
        </w:rPr>
        <w:t>福建省教育厅办公室</w:t>
      </w:r>
      <w:r>
        <w:rPr>
          <w:rFonts w:hint="eastAsia" w:ascii="方正小标宋_GBK" w:eastAsia="方正小标宋_GBK"/>
          <w:sz w:val="44"/>
          <w:szCs w:val="44"/>
        </w:rPr>
        <w:t>关于做好</w:t>
      </w:r>
      <w:r>
        <w:rPr>
          <w:rFonts w:ascii="方正小标宋_GBK" w:eastAsia="方正小标宋_GBK"/>
          <w:sz w:val="44"/>
          <w:szCs w:val="44"/>
        </w:rPr>
        <w:t>201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8</w:t>
      </w:r>
      <w:r>
        <w:rPr>
          <w:rFonts w:hint="eastAsia" w:ascii="方正小标宋_GBK" w:eastAsia="方正小标宋_GBK"/>
          <w:sz w:val="44"/>
          <w:szCs w:val="44"/>
        </w:rPr>
        <w:t>年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center"/>
        <w:textAlignment w:val="auto"/>
        <w:outlineLvl w:val="9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职业教育专项资金安排使用工作的通知</w:t>
      </w:r>
    </w:p>
    <w:p>
      <w:pPr>
        <w:keepNext w:val="0"/>
        <w:keepLines w:val="0"/>
        <w:pageBreakBefore w:val="0"/>
        <w:widowControl w:val="0"/>
        <w:tabs>
          <w:tab w:val="left" w:pos="6138"/>
        </w:tabs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各设区市、平潭综合实验区教育局，各省属高职院校、省属中等职业学校：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目前，2018年省级现代职业教育发展专项资金、</w:t>
      </w:r>
      <w:r>
        <w:rPr>
          <w:rFonts w:hint="eastAsia" w:ascii="仿宋_GB2312" w:eastAsia="仿宋_GB2312"/>
          <w:sz w:val="32"/>
          <w:szCs w:val="32"/>
        </w:rPr>
        <w:t>中央现代职业教育质量提升计划专项资金</w:t>
      </w:r>
      <w:r>
        <w:rPr>
          <w:rFonts w:hint="eastAsia" w:ascii="仿宋_GB2312" w:eastAsia="仿宋_GB2312"/>
          <w:sz w:val="32"/>
          <w:szCs w:val="32"/>
          <w:lang w:eastAsia="zh-CN"/>
        </w:rPr>
        <w:t>已下达各地及省属职业院校（附件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1）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为做好专项资金安排使用工作，现将有关事项通知如下：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一、进一步明确专项资金使用范围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（一）</w:t>
      </w:r>
      <w:r>
        <w:rPr>
          <w:rFonts w:hint="eastAsia" w:ascii="仿宋_GB2312" w:eastAsia="仿宋_GB2312"/>
          <w:b/>
          <w:bCs/>
          <w:sz w:val="32"/>
          <w:szCs w:val="32"/>
        </w:rPr>
        <w:t>中央现代职业教育质量提升计划专项资金</w:t>
      </w: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</w:rPr>
        <w:t>严格按照《教育部、财政部</w:t>
      </w:r>
      <w:r>
        <w:rPr>
          <w:rFonts w:ascii="仿宋_GB2312" w:eastAsia="仿宋_GB2312"/>
          <w:sz w:val="32"/>
          <w:szCs w:val="32"/>
        </w:rPr>
        <w:t>&lt;</w:t>
      </w:r>
      <w:r>
        <w:rPr>
          <w:rFonts w:hint="eastAsia" w:ascii="仿宋_GB2312" w:eastAsia="仿宋_GB2312"/>
          <w:sz w:val="32"/>
          <w:szCs w:val="32"/>
        </w:rPr>
        <w:t>关于印发现代职业教育质量提升计划专项资金管理办法</w:t>
      </w:r>
      <w:r>
        <w:rPr>
          <w:rFonts w:ascii="仿宋_GB2312" w:eastAsia="仿宋_GB2312"/>
          <w:sz w:val="32"/>
          <w:szCs w:val="32"/>
        </w:rPr>
        <w:t>&gt;</w:t>
      </w:r>
      <w:r>
        <w:rPr>
          <w:rFonts w:hint="eastAsia" w:ascii="仿宋_GB2312" w:eastAsia="仿宋_GB2312"/>
          <w:sz w:val="32"/>
          <w:szCs w:val="32"/>
        </w:rPr>
        <w:t>的通知》（财科教〔</w:t>
      </w:r>
      <w:r>
        <w:rPr>
          <w:rFonts w:ascii="仿宋_GB2312" w:eastAsia="仿宋_GB2312"/>
          <w:sz w:val="32"/>
          <w:szCs w:val="32"/>
        </w:rPr>
        <w:t>2016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ascii="仿宋_GB2312" w:eastAsia="仿宋_GB2312"/>
          <w:sz w:val="32"/>
          <w:szCs w:val="32"/>
        </w:rPr>
        <w:t>31</w:t>
      </w:r>
      <w:r>
        <w:rPr>
          <w:rFonts w:hint="eastAsia" w:ascii="仿宋_GB2312" w:eastAsia="仿宋_GB2312"/>
          <w:sz w:val="32"/>
          <w:szCs w:val="32"/>
        </w:rPr>
        <w:t>号），安排使用专项资金。</w:t>
      </w:r>
      <w:r>
        <w:rPr>
          <w:rFonts w:hint="eastAsia" w:ascii="仿宋_GB2312" w:eastAsia="仿宋_GB2312"/>
          <w:sz w:val="32"/>
          <w:szCs w:val="32"/>
          <w:lang w:eastAsia="zh-CN"/>
        </w:rPr>
        <w:t>高职院校可按不超过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70%比例将专项资金用于提高生均拨款水平，由学校根据办学需要自主安排使用；其他资金用于专业（群）、实训基地、“双师型”教师培训、基础教学条件4个项目建设。中职学校</w:t>
      </w:r>
      <w:r>
        <w:rPr>
          <w:rFonts w:hint="eastAsia" w:ascii="仿宋_GB2312" w:eastAsia="仿宋_GB2312"/>
          <w:sz w:val="32"/>
          <w:szCs w:val="32"/>
          <w:lang w:eastAsia="zh-CN"/>
        </w:rPr>
        <w:t>专项资金用于改扩建校舍、实验实训场所以及其他附属设施，配置图书和教学仪器设备等。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（二）省级现代职业教育发展专项资金。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采取因素法分配，分配因素包括省级职业教育及终身教育重点项目、技能大赛举办及获奖数量等（附件2）。严格</w:t>
      </w:r>
      <w:r>
        <w:rPr>
          <w:rFonts w:hint="eastAsia" w:ascii="仿宋_GB2312" w:eastAsia="仿宋_GB2312"/>
          <w:sz w:val="32"/>
          <w:szCs w:val="32"/>
        </w:rPr>
        <w:t>按照</w:t>
      </w:r>
      <w:bookmarkStart w:id="1" w:name="bookmark1"/>
      <w:r>
        <w:rPr>
          <w:rFonts w:hint="eastAsia" w:ascii="仿宋_GB2312" w:eastAsia="仿宋_GB2312"/>
          <w:sz w:val="32"/>
          <w:szCs w:val="32"/>
        </w:rPr>
        <w:t>《福建省财政厅、福建省教育厅关于印发</w:t>
      </w:r>
      <w:r>
        <w:rPr>
          <w:rFonts w:ascii="仿宋_GB2312" w:eastAsia="仿宋_GB2312"/>
          <w:sz w:val="32"/>
          <w:szCs w:val="32"/>
        </w:rPr>
        <w:t>&lt;</w:t>
      </w:r>
      <w:r>
        <w:rPr>
          <w:rFonts w:hint="eastAsia" w:ascii="仿宋_GB2312" w:eastAsia="仿宋_GB2312"/>
          <w:sz w:val="32"/>
          <w:szCs w:val="32"/>
        </w:rPr>
        <w:t>福建</w:t>
      </w:r>
      <w:bookmarkStart w:id="4" w:name="_GoBack"/>
      <w:bookmarkEnd w:id="4"/>
      <w:r>
        <w:rPr>
          <w:rFonts w:hint="eastAsia" w:ascii="仿宋_GB2312" w:eastAsia="仿宋_GB2312"/>
          <w:sz w:val="32"/>
          <w:szCs w:val="32"/>
        </w:rPr>
        <w:t>省现代职业教育发展专项资金管理暂行办法</w:t>
      </w:r>
      <w:r>
        <w:rPr>
          <w:rFonts w:ascii="仿宋_GB2312" w:eastAsia="仿宋_GB2312"/>
          <w:sz w:val="32"/>
          <w:szCs w:val="32"/>
        </w:rPr>
        <w:t>&gt;</w:t>
      </w:r>
      <w:r>
        <w:rPr>
          <w:rFonts w:hint="eastAsia" w:ascii="仿宋_GB2312" w:eastAsia="仿宋_GB2312"/>
          <w:sz w:val="32"/>
          <w:szCs w:val="32"/>
        </w:rPr>
        <w:t>的通知</w:t>
      </w:r>
      <w:bookmarkEnd w:id="1"/>
      <w:r>
        <w:rPr>
          <w:rFonts w:hint="eastAsia" w:ascii="仿宋_GB2312" w:eastAsia="仿宋_GB2312"/>
          <w:sz w:val="32"/>
          <w:szCs w:val="32"/>
        </w:rPr>
        <w:t>》（闽财教〔</w:t>
      </w:r>
      <w:r>
        <w:rPr>
          <w:rFonts w:ascii="仿宋_GB2312" w:eastAsia="仿宋_GB2312"/>
          <w:sz w:val="32"/>
          <w:szCs w:val="32"/>
        </w:rPr>
        <w:t>2015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ascii="仿宋_GB2312" w:eastAsia="仿宋_GB2312"/>
          <w:sz w:val="32"/>
          <w:szCs w:val="32"/>
        </w:rPr>
        <w:t>73</w:t>
      </w:r>
      <w:r>
        <w:rPr>
          <w:rFonts w:hint="eastAsia" w:ascii="仿宋_GB2312" w:eastAsia="仿宋_GB2312"/>
          <w:sz w:val="32"/>
          <w:szCs w:val="32"/>
        </w:rPr>
        <w:t>号）、《福建省财政厅、福建省教育厅关于印发</w:t>
      </w:r>
      <w:r>
        <w:rPr>
          <w:rFonts w:ascii="仿宋_GB2312" w:eastAsia="仿宋_GB2312"/>
          <w:sz w:val="32"/>
          <w:szCs w:val="32"/>
        </w:rPr>
        <w:t>&lt;</w:t>
      </w:r>
      <w:r>
        <w:rPr>
          <w:rFonts w:hint="eastAsia" w:ascii="仿宋_GB2312" w:eastAsia="仿宋_GB2312"/>
          <w:sz w:val="32"/>
          <w:szCs w:val="32"/>
        </w:rPr>
        <w:t>福建省示范性现代职业院校建设工程项目专项资金管理暂行办法</w:t>
      </w:r>
      <w:r>
        <w:rPr>
          <w:rFonts w:ascii="仿宋_GB2312" w:eastAsia="仿宋_GB2312"/>
          <w:sz w:val="32"/>
          <w:szCs w:val="32"/>
        </w:rPr>
        <w:t>&gt;</w:t>
      </w:r>
      <w:r>
        <w:rPr>
          <w:rFonts w:hint="eastAsia" w:ascii="仿宋_GB2312" w:eastAsia="仿宋_GB2312"/>
          <w:sz w:val="32"/>
          <w:szCs w:val="32"/>
        </w:rPr>
        <w:t>的通知》（闽财教〔2016〕29号），安排使用专项资金。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各项目单位可在示范性现代职业院校建设、职业院校内涵建设、职业教育信息化建设、终身教育重点项目建设等4个类别内统筹安排使用。其中，职业院校内涵建设包括专业建设、实训基地建设、技能大赛等，职业教育信息化建设包括信息化教学大赛、专业教学资源库和在线课程开发等，终身教育重点项目建设包括终身教育服务中心建设、社区教育示范基地和示范品牌建设、农民工“求学圆梦”行动计划等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二、进一步提高资金使用效益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切实加快预算执行进度，防止资金沉淀。</w:t>
      </w:r>
      <w:r>
        <w:rPr>
          <w:rFonts w:hint="eastAsia" w:ascii="仿宋_GB2312" w:eastAsia="仿宋_GB2312"/>
          <w:sz w:val="32"/>
          <w:szCs w:val="32"/>
        </w:rPr>
        <w:t>请各项目单位于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11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日前登录“福建职业教育与终身教育网（</w:t>
      </w:r>
      <w:r>
        <w:rPr>
          <w:rFonts w:ascii="仿宋_GB2312" w:eastAsia="仿宋_GB2312"/>
          <w:sz w:val="32"/>
          <w:szCs w:val="32"/>
        </w:rPr>
        <w:t>www.fjzyjy.com</w:t>
      </w:r>
      <w:r>
        <w:rPr>
          <w:rFonts w:hint="eastAsia" w:ascii="仿宋_GB2312" w:eastAsia="仿宋_GB2312"/>
          <w:sz w:val="32"/>
          <w:szCs w:val="32"/>
        </w:rPr>
        <w:t>）”省级职业教育重点项目管理平台，填报《分内容资金使用情况表》（附件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）。</w:t>
      </w:r>
      <w:r>
        <w:rPr>
          <w:rFonts w:hint="eastAsia" w:ascii="仿宋_GB2312" w:eastAsia="仿宋_GB2312"/>
          <w:sz w:val="32"/>
          <w:szCs w:val="32"/>
          <w:lang w:eastAsia="zh-CN"/>
        </w:rPr>
        <w:t>对连续两年未用完的结转资金，一律收回财政统筹；对于结转资金规模较大的设区市及项目单位，不再安排或减少预算安排。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附件：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1.2018年职业教育专项资金下达文件目录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1918" w:leftChars="304" w:right="0" w:rightChars="0" w:hanging="1280" w:hangingChars="4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2.</w:t>
      </w:r>
      <w:r>
        <w:rPr>
          <w:rFonts w:hint="eastAsia" w:ascii="仿宋_GB2312" w:eastAsia="仿宋_GB2312"/>
          <w:sz w:val="32"/>
          <w:szCs w:val="32"/>
          <w:lang w:eastAsia="zh-CN"/>
        </w:rPr>
        <w:t>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  <w:lang w:eastAsia="zh-CN"/>
        </w:rPr>
        <w:t>年省级现代职业教育发展专项资金分配因素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1918" w:leftChars="304" w:right="0" w:rightChars="0" w:hanging="1280" w:hangingChars="4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3.</w:t>
      </w:r>
      <w:r>
        <w:rPr>
          <w:rFonts w:hint="eastAsia" w:ascii="仿宋_GB2312" w:eastAsia="仿宋_GB2312"/>
          <w:sz w:val="32"/>
          <w:szCs w:val="32"/>
        </w:rPr>
        <w:t>分内容资金使用情况表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福建省教育厅办公室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2018年10月17日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line="580" w:lineRule="exact"/>
        <w:rPr>
          <w:rFonts w:hint="eastAsia" w:ascii="黑体" w:hAnsi="黑体" w:eastAsia="黑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line="580" w:lineRule="exact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2018年职业教育专项资金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下达文件目录</w:t>
      </w:r>
    </w:p>
    <w:p>
      <w:pPr>
        <w:numPr>
          <w:ilvl w:val="0"/>
          <w:numId w:val="0"/>
        </w:numPr>
        <w:ind w:firstLine="964" w:firstLineChars="300"/>
        <w:rPr>
          <w:rFonts w:hint="eastAsia" w:ascii="仿宋_GB2312" w:eastAsia="仿宋_GB2312"/>
          <w:b/>
          <w:bCs/>
          <w:sz w:val="32"/>
          <w:szCs w:val="32"/>
        </w:rPr>
      </w:pPr>
    </w:p>
    <w:p>
      <w:pPr>
        <w:numPr>
          <w:ilvl w:val="0"/>
          <w:numId w:val="0"/>
        </w:numPr>
        <w:ind w:firstLine="960" w:firstLineChars="30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中央现代职业教育质量提升计划专项资金</w:t>
      </w:r>
    </w:p>
    <w:tbl>
      <w:tblPr>
        <w:tblStyle w:val="6"/>
        <w:tblW w:w="82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1"/>
        <w:gridCol w:w="5100"/>
        <w:gridCol w:w="19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级次</w:t>
            </w:r>
          </w:p>
        </w:tc>
        <w:tc>
          <w:tcPr>
            <w:tcW w:w="5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文件</w:t>
            </w:r>
          </w:p>
        </w:tc>
        <w:tc>
          <w:tcPr>
            <w:tcW w:w="1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文号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4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省属</w:t>
            </w:r>
          </w:p>
        </w:tc>
        <w:tc>
          <w:tcPr>
            <w:tcW w:w="5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关于下达2018年现代职业教育质量提升计划中央专项资金的通知</w:t>
            </w:r>
          </w:p>
        </w:tc>
        <w:tc>
          <w:tcPr>
            <w:tcW w:w="1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闽财指[2018]594号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4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关于追加2018年现代职业教育质量提升计划中央专项资金的通知</w:t>
            </w:r>
          </w:p>
        </w:tc>
        <w:tc>
          <w:tcPr>
            <w:tcW w:w="1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闽财指[2018]720号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4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市县</w:t>
            </w:r>
          </w:p>
        </w:tc>
        <w:tc>
          <w:tcPr>
            <w:tcW w:w="5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关于提前下达2018现代职业教育质量提升计划专项资金的通知</w:t>
            </w:r>
          </w:p>
        </w:tc>
        <w:tc>
          <w:tcPr>
            <w:tcW w:w="1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闽财教指[2017]158号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4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关于下达2018年现代职业教育质量提升计划中央专项资金的通知</w:t>
            </w:r>
          </w:p>
        </w:tc>
        <w:tc>
          <w:tcPr>
            <w:tcW w:w="1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闽财教指[2018]74号</w:t>
            </w:r>
          </w:p>
        </w:tc>
      </w:tr>
    </w:tbl>
    <w:p>
      <w:pPr>
        <w:numPr>
          <w:ilvl w:val="0"/>
          <w:numId w:val="0"/>
        </w:numPr>
        <w:ind w:firstLine="960" w:firstLineChars="30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二、省级现代职业教育发展专项资金</w:t>
      </w:r>
    </w:p>
    <w:tbl>
      <w:tblPr>
        <w:tblStyle w:val="6"/>
        <w:tblW w:w="830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1"/>
        <w:gridCol w:w="5100"/>
        <w:gridCol w:w="1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级次</w:t>
            </w:r>
          </w:p>
        </w:tc>
        <w:tc>
          <w:tcPr>
            <w:tcW w:w="5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文件</w:t>
            </w:r>
          </w:p>
        </w:tc>
        <w:tc>
          <w:tcPr>
            <w:tcW w:w="1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文号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省属</w:t>
            </w:r>
          </w:p>
        </w:tc>
        <w:tc>
          <w:tcPr>
            <w:tcW w:w="5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关于安排省级现代职业教育发展专项资金的通知</w:t>
            </w:r>
          </w:p>
        </w:tc>
        <w:tc>
          <w:tcPr>
            <w:tcW w:w="1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闽财指[2018]21号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4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市县</w:t>
            </w:r>
          </w:p>
        </w:tc>
        <w:tc>
          <w:tcPr>
            <w:tcW w:w="5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关于提前下达2018年省级现代职业教育发展专项经费的通知</w:t>
            </w:r>
          </w:p>
        </w:tc>
        <w:tc>
          <w:tcPr>
            <w:tcW w:w="1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闽财教指[2017]108号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4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关于下达2018年现代职业教育发展专项资金的通知</w:t>
            </w:r>
          </w:p>
        </w:tc>
        <w:tc>
          <w:tcPr>
            <w:tcW w:w="1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闽财教指[2018]57号</w:t>
            </w:r>
          </w:p>
        </w:tc>
      </w:tr>
    </w:tbl>
    <w:p>
      <w:pPr>
        <w:numPr>
          <w:ilvl w:val="0"/>
          <w:numId w:val="0"/>
        </w:numPr>
        <w:ind w:firstLine="964" w:firstLineChars="300"/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line="580" w:lineRule="exact"/>
        <w:rPr>
          <w:rFonts w:hint="eastAsia" w:ascii="黑体" w:hAnsi="黑体" w:eastAsia="黑体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425" w:num="1"/>
          <w:docGrid w:type="lines" w:linePitch="312" w:charSpace="0"/>
        </w:sectPr>
      </w:pPr>
    </w:p>
    <w:p>
      <w:pPr>
        <w:spacing w:line="360" w:lineRule="auto"/>
        <w:rPr>
          <w:rFonts w:cs="宋体"/>
          <w:szCs w:val="21"/>
        </w:rPr>
      </w:pPr>
      <w:r>
        <w:rPr>
          <w:rFonts w:hint="eastAsia" w:ascii="黑体" w:hAnsi="黑体" w:eastAsia="黑体" w:cs="仿宋_GB2312"/>
          <w:kern w:val="0"/>
          <w:sz w:val="32"/>
          <w:szCs w:val="32"/>
        </w:rPr>
        <w:t>附件</w:t>
      </w:r>
      <w:r>
        <w:rPr>
          <w:rFonts w:ascii="黑体" w:hAnsi="黑体" w:eastAsia="黑体" w:cs="仿宋_GB2312"/>
          <w:kern w:val="0"/>
          <w:sz w:val="32"/>
          <w:szCs w:val="32"/>
        </w:rPr>
        <w:t>3</w:t>
      </w:r>
    </w:p>
    <w:p>
      <w:pPr>
        <w:spacing w:line="600" w:lineRule="exact"/>
        <w:ind w:firstLine="880" w:firstLineChars="200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分内容资金使用情况</w:t>
      </w:r>
    </w:p>
    <w:p>
      <w:pPr>
        <w:spacing w:line="600" w:lineRule="exact"/>
        <w:ind w:firstLine="880" w:firstLineChars="200"/>
        <w:jc w:val="center"/>
        <w:rPr>
          <w:rFonts w:ascii="方正小标宋_GBK" w:eastAsia="方正小标宋_GBK"/>
          <w:sz w:val="44"/>
          <w:szCs w:val="44"/>
        </w:rPr>
      </w:pPr>
    </w:p>
    <w:tbl>
      <w:tblPr>
        <w:tblStyle w:val="5"/>
        <w:tblW w:w="819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4"/>
        <w:gridCol w:w="1308"/>
        <w:gridCol w:w="1764"/>
        <w:gridCol w:w="1572"/>
        <w:gridCol w:w="17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774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支出内容</w:t>
            </w:r>
          </w:p>
        </w:tc>
        <w:tc>
          <w:tcPr>
            <w:tcW w:w="1308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项目总投入</w:t>
            </w:r>
          </w:p>
          <w:p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（万元）</w:t>
            </w:r>
          </w:p>
        </w:tc>
        <w:tc>
          <w:tcPr>
            <w:tcW w:w="1764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当季度计划安排金额（万元）</w:t>
            </w:r>
          </w:p>
        </w:tc>
        <w:tc>
          <w:tcPr>
            <w:tcW w:w="1572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当季度实际支出金额（万元）</w:t>
            </w:r>
          </w:p>
        </w:tc>
        <w:tc>
          <w:tcPr>
            <w:tcW w:w="1774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本年度累计支出金额</w:t>
            </w:r>
          </w:p>
          <w:p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774" w:type="dxa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合计</w:t>
            </w:r>
          </w:p>
        </w:tc>
        <w:tc>
          <w:tcPr>
            <w:tcW w:w="1308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64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72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74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774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设备购置</w:t>
            </w:r>
          </w:p>
        </w:tc>
        <w:tc>
          <w:tcPr>
            <w:tcW w:w="1308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64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72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74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774" w:type="dxa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实训基地建设</w:t>
            </w:r>
          </w:p>
        </w:tc>
        <w:tc>
          <w:tcPr>
            <w:tcW w:w="1308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64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72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74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774" w:type="dxa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师资队伍建设</w:t>
            </w:r>
          </w:p>
        </w:tc>
        <w:tc>
          <w:tcPr>
            <w:tcW w:w="1308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64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72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74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774" w:type="dxa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图书资料购置</w:t>
            </w:r>
          </w:p>
        </w:tc>
        <w:tc>
          <w:tcPr>
            <w:tcW w:w="1308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64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72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74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774" w:type="dxa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校舍维修改造</w:t>
            </w:r>
          </w:p>
        </w:tc>
        <w:tc>
          <w:tcPr>
            <w:tcW w:w="1308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64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72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74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774" w:type="dxa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其他</w:t>
            </w:r>
          </w:p>
        </w:tc>
        <w:tc>
          <w:tcPr>
            <w:tcW w:w="1308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64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72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74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</w:tbl>
    <w:p>
      <w:pPr>
        <w:spacing w:line="60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备注：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1.按照中央、省级专项资金分别填报；</w:t>
      </w:r>
    </w:p>
    <w:p>
      <w:pPr>
        <w:spacing w:line="600" w:lineRule="exact"/>
        <w:ind w:left="1916" w:leftChars="760" w:hanging="320" w:hangingChars="1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2.</w:t>
      </w:r>
      <w:r>
        <w:rPr>
          <w:rFonts w:hint="eastAsia" w:ascii="仿宋_GB2312" w:eastAsia="仿宋_GB2312"/>
          <w:sz w:val="32"/>
          <w:szCs w:val="32"/>
        </w:rPr>
        <w:t>本表只填报财政资金的支出情况，不含学校自筹部分。</w:t>
      </w:r>
    </w:p>
    <w:p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320" w:firstLineChars="100"/>
        <w:textAlignment w:val="auto"/>
        <w:rPr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(</w:t>
      </w:r>
      <w:bookmarkStart w:id="2" w:name="公开属性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依申请</w:t>
      </w:r>
      <w:r>
        <w:rPr>
          <w:rFonts w:hint="eastAsia" w:ascii="仿宋_GB2312" w:hAnsi="仿宋_GB2312" w:eastAsia="仿宋_GB2312" w:cs="仿宋_GB2312"/>
          <w:sz w:val="32"/>
          <w:szCs w:val="32"/>
        </w:rPr>
        <w:t>公开</w:t>
      </w:r>
      <w:bookmarkEnd w:id="2"/>
      <w:r>
        <w:rPr>
          <w:rFonts w:ascii="仿宋_GB2312" w:hAnsi="仿宋_GB2312" w:eastAsia="仿宋_GB2312" w:cs="仿宋_GB2312"/>
          <w:sz w:val="32"/>
          <w:szCs w:val="32"/>
        </w:rPr>
        <w:t>)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210" w:firstLineChars="100"/>
        <w:textAlignment w:val="auto"/>
        <w:rPr>
          <w:rFonts w:ascii="仿宋_GB2312" w:eastAsia="仿宋_GB2312"/>
          <w:sz w:val="28"/>
          <w:szCs w:val="28"/>
        </w:rPr>
      </w:pPr>
      <w:bookmarkStart w:id="3" w:name="抄送"/>
      <w:bookmarkEnd w:id="3"/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5600700" cy="0"/>
                <wp:effectExtent l="0" t="0" r="0" b="0"/>
                <wp:wrapNone/>
                <wp:docPr id="5" name="直接箭头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0pt;margin-top:0.05pt;height:0pt;width:441pt;z-index:251664384;mso-width-relative:page;mso-height-relative:page;" filled="f" stroked="t" coordsize="21600,21600" o:gfxdata="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HBlw73NAAAAAgEAAA8AAAAA&#10;AAAAAQAgAAAAIgAAAGRycy9kb3ducmV2LnhtbFBLAQIUABQAAAAIAIdO4kAShibG5gEAAK0DAAAO&#10;AAAAAAAAAAEAIAAAABwBAABkcnMvZTJvRG9jLnhtbFBLBQYAAAAABgAGAFkBAAB0BQAAAAA=&#10;">
                <v:fill on="f" focussize="0,0"/>
                <v:stroke weight="1.5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eastAsia="仿宋_GB2312" w:cs="仿宋_GB2312"/>
          <w:sz w:val="28"/>
          <w:szCs w:val="28"/>
        </w:rPr>
        <w:t>福建省教育厅办公室</w:t>
      </w:r>
      <w:r>
        <w:rPr>
          <w:sz w:val="28"/>
          <w:szCs w:val="28"/>
        </w:rPr>
        <w:t xml:space="preserve">              </w:t>
      </w:r>
      <w:r>
        <w:rPr>
          <w:rFonts w:hint="eastAsia"/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>
        <w:rPr>
          <w:rFonts w:ascii="仿宋_GB2312" w:eastAsia="仿宋_GB2312" w:cs="仿宋_GB2312"/>
          <w:sz w:val="28"/>
          <w:szCs w:val="28"/>
        </w:rPr>
        <w:t>201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8</w:t>
      </w:r>
      <w:r>
        <w:rPr>
          <w:rFonts w:hint="eastAsia" w:ascii="仿宋_GB2312" w:eastAsia="仿宋_GB2312" w:cs="仿宋_GB2312"/>
          <w:sz w:val="28"/>
          <w:szCs w:val="28"/>
        </w:rPr>
        <w:t>年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10</w:t>
      </w:r>
      <w:r>
        <w:rPr>
          <w:rFonts w:hint="eastAsia" w:ascii="仿宋_GB2312" w:eastAsia="仿宋_GB2312" w:cs="仿宋_GB2312"/>
          <w:sz w:val="28"/>
          <w:szCs w:val="28"/>
        </w:rPr>
        <w:t>月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17</w:t>
      </w:r>
      <w:r>
        <w:rPr>
          <w:rFonts w:hint="eastAsia" w:ascii="仿宋_GB2312" w:eastAsia="仿宋_GB2312" w:cs="仿宋_GB2312"/>
          <w:sz w:val="28"/>
          <w:szCs w:val="28"/>
        </w:rPr>
        <w:t>日印发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47625</wp:posOffset>
                </wp:positionV>
                <wp:extent cx="5600700" cy="0"/>
                <wp:effectExtent l="0" t="0" r="0" b="0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0.75pt;margin-top:3.75pt;height:0pt;width:441pt;z-index:251666432;mso-width-relative:page;mso-height-relative:page;" filled="f" stroked="t" coordsize="21600,21600" o:gfxdata="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CA2b688AAAAFAQAADwAA&#10;AAAAAAABACAAAAAiAAAAZHJzL2Rvd25yZXYueG1sUEsBAhQAFAAAAAgAh07iQBvI7f/mAQAArQMA&#10;AA4AAAAAAAAAAQAgAAAAHgEAAGRycy9lMm9Eb2MueG1sUEsFBgAAAAAGAAYAWQEAAHYFAAAAAA==&#10;">
                <v:fill on="f" focussize="0,0"/>
                <v:stroke weight="1.5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sectPr>
      <w:pgSz w:w="11906" w:h="16838"/>
      <w:pgMar w:top="1440" w:right="1588" w:bottom="1440" w:left="1797" w:header="851" w:footer="1559" w:gutter="0"/>
      <w:pgNumType w:fmt="numberInDash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ngLiUfalt">
    <w:altName w:val="MingLiU"/>
    <w:panose1 w:val="00000000000000000000"/>
    <w:charset w:val="88"/>
    <w:family w:val="auto"/>
    <w:pitch w:val="default"/>
    <w:sig w:usb0="00000000" w:usb1="00000000" w:usb2="00000010" w:usb3="00000000" w:csb0="00100000" w:csb1="0000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_x001A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entury Gothic">
    <w:panose1 w:val="020B0502020202020204"/>
    <w:charset w:val="00"/>
    <w:family w:val="swiss"/>
    <w:pitch w:val="default"/>
    <w:sig w:usb0="00000287" w:usb1="00000000" w:usb2="00000000" w:usb3="00000000" w:csb0="2000009F" w:csb1="DFD70000"/>
  </w:font>
  <w:font w:name="MS Mincho">
    <w:panose1 w:val="02020609040205080304"/>
    <w:charset w:val="80"/>
    <w:family w:val="roman"/>
    <w:pitch w:val="default"/>
    <w:sig w:usb0="E00002FF" w:usb1="6AC7FDFB" w:usb2="00000012" w:usb3="00000000" w:csb0="4002009F" w:csb1="DFD7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仿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ngsanaUPC">
    <w:panose1 w:val="02020603050405020304"/>
    <w:charset w:val="00"/>
    <w:family w:val="roman"/>
    <w:pitch w:val="default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848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AA5918"/>
    <w:rsid w:val="00EF30DB"/>
    <w:rsid w:val="01EB1468"/>
    <w:rsid w:val="02AA5918"/>
    <w:rsid w:val="04C04935"/>
    <w:rsid w:val="05080727"/>
    <w:rsid w:val="05EF2197"/>
    <w:rsid w:val="0B630235"/>
    <w:rsid w:val="0D3E0CB6"/>
    <w:rsid w:val="0EC41781"/>
    <w:rsid w:val="127D4415"/>
    <w:rsid w:val="1D590A48"/>
    <w:rsid w:val="27E02788"/>
    <w:rsid w:val="2A9B68BE"/>
    <w:rsid w:val="2E8E765F"/>
    <w:rsid w:val="3C7856F6"/>
    <w:rsid w:val="3D925AB0"/>
    <w:rsid w:val="3FAA3806"/>
    <w:rsid w:val="44DC33F1"/>
    <w:rsid w:val="4C731166"/>
    <w:rsid w:val="4E521DB4"/>
    <w:rsid w:val="51AC7C8B"/>
    <w:rsid w:val="53C846FB"/>
    <w:rsid w:val="542B0943"/>
    <w:rsid w:val="560D1B58"/>
    <w:rsid w:val="56353FD8"/>
    <w:rsid w:val="570E233F"/>
    <w:rsid w:val="5A8D2FC0"/>
    <w:rsid w:val="5C040E92"/>
    <w:rsid w:val="5D2555FC"/>
    <w:rsid w:val="633A6206"/>
    <w:rsid w:val="64FD4CAE"/>
    <w:rsid w:val="65115A52"/>
    <w:rsid w:val="69034E2A"/>
    <w:rsid w:val="693200BB"/>
    <w:rsid w:val="697277DB"/>
    <w:rsid w:val="6AF17F16"/>
    <w:rsid w:val="6C814F8A"/>
    <w:rsid w:val="6D771568"/>
    <w:rsid w:val="70B526C8"/>
    <w:rsid w:val="7AB06D25"/>
    <w:rsid w:val="7AF30A53"/>
    <w:rsid w:val="7D833E28"/>
    <w:rsid w:val="7E531FC1"/>
    <w:rsid w:val="7EEE2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2018-08-31T01:30:00Z</dcterms:created>
  <dc:creator>陈晋淞</dc:creator>
  <cp:lastModifiedBy>Administrator</cp:lastModifiedBy>
  <cp:lastPrinted>2018-10-18T07:21:00Z</cp:lastPrinted>
  <dcterms:modified xsi:type="dcterms:W3CDTF">2018-10-19T03:25:24Z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